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03" w:rsidRPr="00D80170" w:rsidRDefault="004F4A03" w:rsidP="004F4A03">
      <w:pPr>
        <w:tabs>
          <w:tab w:val="left" w:pos="0"/>
        </w:tabs>
        <w:suppressAutoHyphens/>
        <w:jc w:val="both"/>
        <w:rPr>
          <w:rFonts w:ascii="AvantGarde Bk BT" w:hAnsi="AvantGarde Bk BT" w:cs="Arial"/>
          <w:b/>
          <w:bCs/>
          <w:color w:val="000000" w:themeColor="text1"/>
          <w:spacing w:val="-3"/>
          <w:sz w:val="22"/>
          <w:szCs w:val="22"/>
          <w:lang w:val="pt-BR"/>
        </w:rPr>
      </w:pPr>
      <w:r w:rsidRPr="00D80170">
        <w:rPr>
          <w:rFonts w:ascii="AvantGarde Bk BT" w:hAnsi="AvantGarde Bk BT" w:cs="Arial"/>
          <w:b/>
          <w:bCs/>
          <w:color w:val="000000" w:themeColor="text1"/>
          <w:spacing w:val="-3"/>
          <w:sz w:val="22"/>
          <w:szCs w:val="22"/>
          <w:lang w:val="pt-BR"/>
        </w:rPr>
        <w:t>H. CONSEJO GENERAL UNIVERSITARIO</w:t>
      </w:r>
    </w:p>
    <w:p w:rsidR="004F4A03" w:rsidRPr="00D80170" w:rsidRDefault="004F4A03" w:rsidP="004F4A03">
      <w:pPr>
        <w:tabs>
          <w:tab w:val="left" w:pos="0"/>
        </w:tabs>
        <w:suppressAutoHyphens/>
        <w:jc w:val="both"/>
        <w:rPr>
          <w:rFonts w:ascii="AvantGarde Bk BT" w:hAnsi="AvantGarde Bk BT" w:cs="Arial"/>
          <w:b/>
          <w:bCs/>
          <w:color w:val="000000" w:themeColor="text1"/>
          <w:spacing w:val="-3"/>
          <w:sz w:val="22"/>
          <w:szCs w:val="22"/>
          <w:lang w:val="pt-BR"/>
        </w:rPr>
      </w:pPr>
      <w:r w:rsidRPr="00D80170">
        <w:rPr>
          <w:rFonts w:ascii="AvantGarde Bk BT" w:hAnsi="AvantGarde Bk BT" w:cs="Arial"/>
          <w:b/>
          <w:bCs/>
          <w:color w:val="000000" w:themeColor="text1"/>
          <w:spacing w:val="-3"/>
          <w:sz w:val="22"/>
          <w:szCs w:val="22"/>
          <w:lang w:val="pt-BR"/>
        </w:rPr>
        <w:t>P R E S E N T E</w:t>
      </w:r>
    </w:p>
    <w:p w:rsidR="004F4A03" w:rsidRPr="00D80170" w:rsidRDefault="004F4A03" w:rsidP="004F4A03">
      <w:pPr>
        <w:jc w:val="both"/>
        <w:rPr>
          <w:rFonts w:ascii="AvantGarde Bk BT" w:hAnsi="AvantGarde Bk BT"/>
          <w:color w:val="000000" w:themeColor="text1"/>
          <w:sz w:val="22"/>
          <w:szCs w:val="22"/>
          <w:lang w:val="es-ES_tradnl"/>
        </w:rPr>
      </w:pPr>
    </w:p>
    <w:p w:rsidR="004F4A03" w:rsidRPr="00D80170" w:rsidRDefault="004F4A03" w:rsidP="004F4A03">
      <w:pPr>
        <w:jc w:val="both"/>
        <w:rPr>
          <w:rFonts w:ascii="AvantGarde Bk BT" w:hAnsi="AvantGarde Bk BT" w:cs="Arial"/>
          <w:color w:val="000000" w:themeColor="text1"/>
          <w:sz w:val="22"/>
          <w:szCs w:val="22"/>
        </w:rPr>
      </w:pPr>
      <w:r w:rsidRPr="00D80170">
        <w:rPr>
          <w:rFonts w:ascii="AvantGarde Bk BT" w:hAnsi="AvantGarde Bk BT"/>
          <w:color w:val="000000" w:themeColor="text1"/>
          <w:sz w:val="22"/>
          <w:szCs w:val="22"/>
          <w:lang w:val="es-ES_tradnl"/>
        </w:rPr>
        <w:t xml:space="preserve">A las Comisiones Permanentes de Educación y de Normatividad ha sido turnada una solicitud proveniente del Rector General de la Universidad de Guadalajara, en virtud de la cual se propone que </w:t>
      </w:r>
      <w:r w:rsidRPr="00D80170">
        <w:rPr>
          <w:rFonts w:ascii="AvantGarde Bk BT" w:hAnsi="AvantGarde Bk BT" w:cs="Arial"/>
          <w:b/>
          <w:bCs/>
          <w:color w:val="000000" w:themeColor="text1"/>
          <w:sz w:val="22"/>
          <w:szCs w:val="22"/>
          <w:lang w:val="es-ES"/>
        </w:rPr>
        <w:t>en el ciclo escolar 2021</w:t>
      </w:r>
      <w:r w:rsidR="00E5243F" w:rsidRPr="00D80170">
        <w:rPr>
          <w:rFonts w:ascii="AvantGarde Bk BT" w:hAnsi="AvantGarde Bk BT" w:cs="Arial"/>
          <w:b/>
          <w:bCs/>
          <w:color w:val="000000" w:themeColor="text1"/>
          <w:sz w:val="22"/>
          <w:szCs w:val="22"/>
          <w:lang w:val="es-ES"/>
        </w:rPr>
        <w:t xml:space="preserve"> </w:t>
      </w:r>
      <w:r w:rsidRPr="00D80170">
        <w:rPr>
          <w:rFonts w:ascii="AvantGarde Bk BT" w:hAnsi="AvantGarde Bk BT" w:cs="Arial"/>
          <w:b/>
          <w:bCs/>
          <w:color w:val="000000" w:themeColor="text1"/>
          <w:sz w:val="22"/>
          <w:szCs w:val="22"/>
          <w:lang w:val="es-ES"/>
        </w:rPr>
        <w:t>“A”, los alumnos que se sitúen en el supuesto establecido en el artículo 35 del Reglamento General de Evaluación y Promoción de Alumnos de la Universidad de Guadalajara no sean dados de baja</w:t>
      </w:r>
      <w:r w:rsidRPr="00D80170">
        <w:rPr>
          <w:rFonts w:ascii="AvantGarde Bk BT" w:hAnsi="AvantGarde Bk BT"/>
          <w:b/>
          <w:bCs/>
          <w:color w:val="000000" w:themeColor="text1"/>
          <w:sz w:val="22"/>
          <w:szCs w:val="22"/>
          <w:lang w:val="es-ES_tradnl"/>
        </w:rPr>
        <w:t>,</w:t>
      </w:r>
      <w:r w:rsidRPr="00D80170">
        <w:rPr>
          <w:rFonts w:ascii="AvantGarde Bk BT" w:hAnsi="AvantGarde Bk BT"/>
          <w:color w:val="000000" w:themeColor="text1"/>
          <w:sz w:val="22"/>
          <w:szCs w:val="22"/>
          <w:lang w:val="es-ES_tradnl"/>
        </w:rPr>
        <w:t xml:space="preserve"> conforme a los siguientes:</w:t>
      </w:r>
    </w:p>
    <w:p w:rsidR="004F4A03" w:rsidRPr="00D80170" w:rsidRDefault="004F4A03" w:rsidP="004F4A03">
      <w:pPr>
        <w:jc w:val="both"/>
        <w:rPr>
          <w:rFonts w:ascii="AvantGarde Bk BT" w:hAnsi="AvantGarde Bk BT" w:cs="Arial"/>
          <w:color w:val="000000" w:themeColor="text1"/>
          <w:sz w:val="22"/>
          <w:szCs w:val="22"/>
        </w:rPr>
      </w:pPr>
    </w:p>
    <w:p w:rsidR="004F4A03" w:rsidRPr="00D80170" w:rsidRDefault="004F4A03" w:rsidP="004F4A03">
      <w:pPr>
        <w:contextualSpacing/>
        <w:jc w:val="center"/>
        <w:rPr>
          <w:rFonts w:ascii="AvantGarde Bk BT" w:hAnsi="AvantGarde Bk BT"/>
          <w:b/>
          <w:color w:val="000000" w:themeColor="text1"/>
          <w:sz w:val="22"/>
          <w:szCs w:val="22"/>
          <w:lang w:val="es-ES_tradnl"/>
        </w:rPr>
      </w:pPr>
      <w:r w:rsidRPr="00D80170">
        <w:rPr>
          <w:rFonts w:ascii="AvantGarde Bk BT" w:hAnsi="AvantGarde Bk BT"/>
          <w:b/>
          <w:color w:val="000000" w:themeColor="text1"/>
          <w:sz w:val="22"/>
          <w:szCs w:val="22"/>
          <w:lang w:val="es-ES_tradnl"/>
        </w:rPr>
        <w:t>ANTECEDENTES</w:t>
      </w:r>
    </w:p>
    <w:p w:rsidR="004F4A03" w:rsidRPr="00D80170" w:rsidRDefault="004F4A03" w:rsidP="004F4A03">
      <w:pPr>
        <w:contextualSpacing/>
        <w:jc w:val="both"/>
        <w:rPr>
          <w:rFonts w:ascii="AvantGarde Bk BT" w:hAnsi="AvantGarde Bk BT"/>
          <w:color w:val="000000" w:themeColor="text1"/>
          <w:sz w:val="22"/>
          <w:szCs w:val="22"/>
          <w:lang w:val="es-ES_tradnl" w:eastAsia="es-MX"/>
        </w:rPr>
      </w:pPr>
    </w:p>
    <w:p w:rsidR="004F4A03" w:rsidRPr="00D80170" w:rsidRDefault="004F4A03" w:rsidP="004F4A03">
      <w:pPr>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t xml:space="preserve">A. RESPECTO DEL PROCEDIMIENTO DE EVALUACIÓN DE LOS ALUMNOS DE LA UNIVERSIDAD DE GUADALAJARA </w:t>
      </w:r>
    </w:p>
    <w:p w:rsidR="004F4A03" w:rsidRPr="00D80170" w:rsidRDefault="004F4A03" w:rsidP="004F4A03">
      <w:pPr>
        <w:ind w:left="708"/>
        <w:contextualSpacing/>
        <w:rPr>
          <w:rFonts w:ascii="AvantGarde Bk BT" w:hAnsi="AvantGarde Bk BT"/>
          <w:bCs/>
          <w:color w:val="000000" w:themeColor="text1"/>
          <w:sz w:val="22"/>
          <w:szCs w:val="22"/>
          <w:lang w:val="es-ES_tradnl"/>
        </w:rPr>
      </w:pPr>
    </w:p>
    <w:p w:rsidR="004F4A03" w:rsidRPr="00D80170" w:rsidRDefault="004F4A03" w:rsidP="004F4A03">
      <w:pPr>
        <w:numPr>
          <w:ilvl w:val="0"/>
          <w:numId w:val="2"/>
        </w:numPr>
        <w:contextualSpacing/>
        <w:jc w:val="both"/>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t>El día 15 de enero de 1994 se publicó, en el periódico oficial "El Estado de Jalisco", el Decreto 15319 del Congreso del Estado de Jalisco, mediante el cual se emitió la Ley Orgánica de la Universidad de Guadalajara.</w:t>
      </w:r>
    </w:p>
    <w:p w:rsidR="004F4A03" w:rsidRPr="00D80170" w:rsidRDefault="004F4A03" w:rsidP="004F4A03">
      <w:pPr>
        <w:ind w:left="720"/>
        <w:contextualSpacing/>
        <w:jc w:val="both"/>
        <w:rPr>
          <w:rFonts w:ascii="AvantGarde Bk BT" w:hAnsi="AvantGarde Bk BT"/>
          <w:color w:val="000000" w:themeColor="text1"/>
          <w:sz w:val="22"/>
          <w:szCs w:val="22"/>
          <w:lang w:val="es-ES_tradnl" w:eastAsia="es-MX"/>
        </w:rPr>
      </w:pPr>
    </w:p>
    <w:p w:rsidR="004F4A03" w:rsidRPr="00D80170" w:rsidRDefault="004F4A03" w:rsidP="004F4A03">
      <w:pPr>
        <w:numPr>
          <w:ilvl w:val="0"/>
          <w:numId w:val="2"/>
        </w:numPr>
        <w:contextualSpacing/>
        <w:jc w:val="both"/>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t>En la Ley Orgánica se establecen como fines de la Universidad de Guadalajara, formar y actualizar los técnicos, bachilleres, técnicos profesionales, profesionistas graduados, y demás recursos humanos que requiera el desarrollo socioeconómico del Estado, así como organizar, realizar, fomentar y difundir la investigación científica, tecnológica y humanística, conforme lo establecen las fracciones I y II del artículo 5 de la Ley Orgánica.</w:t>
      </w:r>
    </w:p>
    <w:p w:rsidR="004F4A03" w:rsidRPr="00D80170"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D80170" w:rsidRDefault="004F4A03" w:rsidP="004F4A03">
      <w:pPr>
        <w:numPr>
          <w:ilvl w:val="0"/>
          <w:numId w:val="2"/>
        </w:numPr>
        <w:contextualSpacing/>
        <w:jc w:val="both"/>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t>Además de lo anterior, como parte de sus funciones la Universidad impartirá educación que tenderá a la formación integral de sus alumnos, al desenvolvimiento pleno de sus capacidades y su personalidad; fomentará a la vez en ellos la tolerancia, el amor a la patria y a la humanidad, así como la conciencia de solidaridad en la democracia, en la justicia y en la libertad, en términos de lo establecido en el artículo 8 de la Ley Orgánica.</w:t>
      </w:r>
    </w:p>
    <w:p w:rsidR="004F4A03" w:rsidRPr="00D80170"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t xml:space="preserve">Para efecto de lo antes referido, se considera como alumno a todo aquél que, cumpliendo los requisitos de ingreso establecidos por la normatividad aplicable, haya sido admitido por la autoridad competente y se encuentre inscrito en alguno de los programas académicos de la Universidad, de conformidad con lo establecido en el artículo 20 de la Ley Orgánica. </w:t>
      </w:r>
    </w:p>
    <w:p w:rsidR="004F4A03" w:rsidRPr="00D80170" w:rsidRDefault="004F4A03" w:rsidP="004F4A03">
      <w:pPr>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br w:type="page"/>
      </w:r>
    </w:p>
    <w:p w:rsidR="004F4A03" w:rsidRPr="00D80170"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olor w:val="000000" w:themeColor="text1"/>
          <w:sz w:val="22"/>
          <w:szCs w:val="22"/>
          <w:lang w:val="es-ES_tradnl" w:eastAsia="es-MX"/>
        </w:rPr>
      </w:pPr>
      <w:r w:rsidRPr="00D80170">
        <w:rPr>
          <w:rFonts w:ascii="AvantGarde Bk BT" w:hAnsi="AvantGarde Bk BT"/>
          <w:color w:val="000000" w:themeColor="text1"/>
          <w:sz w:val="22"/>
          <w:szCs w:val="22"/>
          <w:lang w:val="es-ES_tradnl" w:eastAsia="es-MX"/>
        </w:rPr>
        <w:t>Ahora bien, el Reglamento General de Evaluación y Promoción de Alumnos de la Universidad de Guadalajara (RGEPA), regula la evaluación del proceso enseñanza-aprendizaje de los alumnos, de conformidad con los planes de estudio que se imparten en la Universidad de Guadalajara, y fue aprobado por el H. Consejo General Universitario, mediante dictamen No. IV/99/703B, el 09 de octubre de 1999.</w:t>
      </w:r>
    </w:p>
    <w:p w:rsidR="004F4A03" w:rsidRPr="00D80170"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El R</w:t>
      </w:r>
      <w:r w:rsidRPr="00D80170">
        <w:rPr>
          <w:rFonts w:ascii="AvantGarde Bk BT" w:hAnsi="AvantGarde Bk BT"/>
          <w:color w:val="000000" w:themeColor="text1"/>
          <w:sz w:val="22"/>
          <w:szCs w:val="22"/>
          <w:lang w:val="es-ES_tradnl" w:eastAsia="es-MX"/>
        </w:rPr>
        <w:t>GEPA</w:t>
      </w:r>
      <w:r w:rsidRPr="00D80170">
        <w:rPr>
          <w:rFonts w:ascii="AvantGarde Bk BT" w:hAnsi="AvantGarde Bk BT" w:cstheme="minorBidi"/>
          <w:bCs/>
          <w:color w:val="000000" w:themeColor="text1"/>
          <w:sz w:val="22"/>
          <w:szCs w:val="22"/>
          <w:lang w:val="es-ES_tradnl" w:eastAsia="es-MX"/>
        </w:rPr>
        <w:t xml:space="preserve"> en su artículo 4, define a la evaluación como el conjunto de actividades realizadas para obtener y analizar información en forma continua y sistemática del proceso enseñanza-aprendizaje, que permitan verificar los logros obtenidos y determinarles un valor específico.</w:t>
      </w:r>
    </w:p>
    <w:p w:rsidR="004F4A03" w:rsidRPr="00D80170" w:rsidRDefault="004F4A03" w:rsidP="004F4A03">
      <w:pPr>
        <w:pStyle w:val="Prrafodelista"/>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Dicho ordenamiento, establece en su artículo 11, que la evaluación será continua y en ella se tomarán en consideración, los siguientes aspectos: los conocimientos, las capacidades, habilidades, destrezas, aptitudes y las actitudes, adquiridos durante el desarrollo de la materia.</w:t>
      </w:r>
    </w:p>
    <w:p w:rsidR="004F4A03" w:rsidRPr="00D80170" w:rsidRDefault="004F4A03" w:rsidP="004F4A03">
      <w:pPr>
        <w:pStyle w:val="Prrafodelista"/>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Asimismo, el RGEPA establece en su artículo 5 que, el resultado final de las evaluaciones será expresado conforme a la escala de calificaciones centesimal de 0 a 100, en números enteros, considerando como mínima aprobatoria la calificación de 60. Las materias que no son sujetas a medición cuantitativa se certificarán como acreditadas (A) o no acreditadas (NA).</w:t>
      </w:r>
    </w:p>
    <w:p w:rsidR="004F4A03" w:rsidRPr="00D80170" w:rsidRDefault="004F4A03" w:rsidP="004F4A03">
      <w:pPr>
        <w:pStyle w:val="Prrafodelista"/>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Además, para que el alumno tenga derecho al registro del resultado final de la evaluación en el período ordinario, establecido en el calendario escolar aprobado por el H. Consejo General Universitario, se requiere lo establecido en el artículo 20 del RGEPA, a saber:</w:t>
      </w:r>
    </w:p>
    <w:p w:rsidR="004F4A03" w:rsidRPr="00D80170" w:rsidRDefault="004F4A03" w:rsidP="004F4A03">
      <w:pPr>
        <w:pStyle w:val="Prrafodelista"/>
        <w:rPr>
          <w:color w:val="000000" w:themeColor="text1"/>
          <w:sz w:val="22"/>
          <w:szCs w:val="22"/>
        </w:rPr>
      </w:pPr>
    </w:p>
    <w:p w:rsidR="004F4A03" w:rsidRPr="00D80170" w:rsidRDefault="004F4A03" w:rsidP="004F4A03">
      <w:pPr>
        <w:pStyle w:val="Prrafodelista"/>
        <w:numPr>
          <w:ilvl w:val="1"/>
          <w:numId w:val="2"/>
        </w:numPr>
        <w:ind w:left="1776"/>
        <w:contextualSpacing/>
        <w:jc w:val="both"/>
        <w:rPr>
          <w:rFonts w:ascii="AvantGarde Bk BT" w:hAnsi="AvantGarde Bk BT" w:cstheme="minorBidi"/>
          <w:bCs/>
          <w:i/>
          <w:color w:val="000000" w:themeColor="text1"/>
          <w:sz w:val="22"/>
          <w:szCs w:val="22"/>
          <w:lang w:val="es-ES_tradnl" w:eastAsia="es-MX"/>
        </w:rPr>
      </w:pPr>
      <w:r w:rsidRPr="00D80170">
        <w:rPr>
          <w:rFonts w:ascii="AvantGarde Bk BT" w:hAnsi="AvantGarde Bk BT" w:cstheme="minorBidi"/>
          <w:bCs/>
          <w:i/>
          <w:color w:val="000000" w:themeColor="text1"/>
          <w:sz w:val="22"/>
          <w:szCs w:val="22"/>
          <w:lang w:val="es-ES_tradnl" w:eastAsia="es-MX"/>
        </w:rPr>
        <w:t xml:space="preserve">Estar inscrito en el plan de estudios y curso correspondiente, y </w:t>
      </w:r>
    </w:p>
    <w:p w:rsidR="004F4A03" w:rsidRPr="00D80170" w:rsidRDefault="004F4A03" w:rsidP="004F4A03">
      <w:pPr>
        <w:pStyle w:val="Prrafodelista"/>
        <w:numPr>
          <w:ilvl w:val="1"/>
          <w:numId w:val="2"/>
        </w:numPr>
        <w:ind w:left="1776"/>
        <w:contextualSpacing/>
        <w:jc w:val="both"/>
        <w:rPr>
          <w:rFonts w:ascii="AvantGarde Bk BT" w:hAnsi="AvantGarde Bk BT" w:cstheme="minorBidi"/>
          <w:bCs/>
          <w:i/>
          <w:color w:val="000000" w:themeColor="text1"/>
          <w:sz w:val="22"/>
          <w:szCs w:val="22"/>
          <w:lang w:val="es-ES_tradnl" w:eastAsia="es-MX"/>
        </w:rPr>
      </w:pPr>
      <w:r w:rsidRPr="00D80170">
        <w:rPr>
          <w:rFonts w:ascii="AvantGarde Bk BT" w:hAnsi="AvantGarde Bk BT" w:cstheme="minorBidi"/>
          <w:bCs/>
          <w:i/>
          <w:color w:val="000000" w:themeColor="text1"/>
          <w:sz w:val="22"/>
          <w:szCs w:val="22"/>
          <w:lang w:val="es-ES_tradnl" w:eastAsia="es-MX"/>
        </w:rPr>
        <w:t>Tener un mínimo de asistencia del 80% a clases y actividades registradas durante el curso.</w:t>
      </w:r>
    </w:p>
    <w:p w:rsidR="004F4A03" w:rsidRPr="00D80170" w:rsidRDefault="004F4A03" w:rsidP="004F4A03">
      <w:pPr>
        <w:pStyle w:val="Prrafodelista"/>
        <w:ind w:left="1776"/>
        <w:contextualSpacing/>
        <w:jc w:val="both"/>
        <w:rPr>
          <w:rFonts w:ascii="AvantGarde Bk BT" w:hAnsi="AvantGarde Bk BT" w:cstheme="minorBidi"/>
          <w:bCs/>
          <w:i/>
          <w:color w:val="000000" w:themeColor="text1"/>
          <w:sz w:val="22"/>
          <w:szCs w:val="22"/>
          <w:lang w:val="es-ES_tradnl" w:eastAsia="es-MX"/>
        </w:rPr>
      </w:pPr>
      <w:r w:rsidRPr="00D80170">
        <w:rPr>
          <w:rFonts w:ascii="AvantGarde Bk BT" w:hAnsi="AvantGarde Bk BT" w:cstheme="minorBidi"/>
          <w:bCs/>
          <w:i/>
          <w:color w:val="000000" w:themeColor="text1"/>
          <w:sz w:val="22"/>
          <w:szCs w:val="22"/>
          <w:lang w:val="es-ES_tradnl" w:eastAsia="es-MX"/>
        </w:rPr>
        <w:t xml:space="preserve">La fracción II no será aplicable para los estudios de posgrado ni para los planes de estudio que se impartan en las modalidades no convencionales (abierto, a distancia y </w:t>
      </w:r>
      <w:proofErr w:type="spellStart"/>
      <w:r w:rsidRPr="00D80170">
        <w:rPr>
          <w:rFonts w:ascii="AvantGarde Bk BT" w:hAnsi="AvantGarde Bk BT" w:cstheme="minorBidi"/>
          <w:bCs/>
          <w:i/>
          <w:color w:val="000000" w:themeColor="text1"/>
          <w:sz w:val="22"/>
          <w:szCs w:val="22"/>
          <w:lang w:val="es-ES_tradnl" w:eastAsia="es-MX"/>
        </w:rPr>
        <w:t>semiescolarizado</w:t>
      </w:r>
      <w:proofErr w:type="spellEnd"/>
      <w:r w:rsidRPr="00D80170">
        <w:rPr>
          <w:rFonts w:ascii="AvantGarde Bk BT" w:hAnsi="AvantGarde Bk BT" w:cstheme="minorBidi"/>
          <w:bCs/>
          <w:i/>
          <w:color w:val="000000" w:themeColor="text1"/>
          <w:sz w:val="22"/>
          <w:szCs w:val="22"/>
          <w:lang w:val="es-ES_tradnl" w:eastAsia="es-MX"/>
        </w:rPr>
        <w:t>), los cuales deberán cubrir los requisitos que establezca el dictamen correspondiente.</w:t>
      </w:r>
    </w:p>
    <w:p w:rsidR="004F4A03" w:rsidRPr="00D80170" w:rsidRDefault="004F4A03" w:rsidP="004F4A03">
      <w:pPr>
        <w:rPr>
          <w:color w:val="000000" w:themeColor="text1"/>
          <w:sz w:val="22"/>
          <w:szCs w:val="22"/>
        </w:rPr>
      </w:pPr>
      <w:r w:rsidRPr="00D80170">
        <w:rPr>
          <w:color w:val="000000" w:themeColor="text1"/>
          <w:sz w:val="22"/>
          <w:szCs w:val="22"/>
        </w:rPr>
        <w:br w:type="page"/>
      </w:r>
    </w:p>
    <w:p w:rsidR="00FB07A0" w:rsidRPr="00FB07A0" w:rsidRDefault="00FB07A0" w:rsidP="00FB07A0">
      <w:pPr>
        <w:ind w:left="360"/>
        <w:contextualSpacing/>
        <w:jc w:val="both"/>
        <w:rPr>
          <w:rFonts w:ascii="AvantGarde Bk BT" w:hAnsi="AvantGarde Bk BT" w:cstheme="minorBidi"/>
          <w:bCs/>
          <w:color w:val="000000" w:themeColor="text1"/>
          <w:sz w:val="22"/>
          <w:szCs w:val="22"/>
          <w:lang w:val="es-ES_tradnl" w:eastAsia="es-MX"/>
        </w:rPr>
      </w:pPr>
    </w:p>
    <w:p w:rsidR="00FB07A0" w:rsidRDefault="00FB07A0" w:rsidP="00FB07A0">
      <w:pPr>
        <w:contextualSpacing/>
        <w:jc w:val="both"/>
        <w:rPr>
          <w:rFonts w:ascii="AvantGarde Bk BT" w:hAnsi="AvantGarde Bk BT" w:cstheme="minorBidi"/>
          <w:bCs/>
          <w:color w:val="000000" w:themeColor="text1"/>
          <w:sz w:val="22"/>
          <w:szCs w:val="22"/>
          <w:lang w:val="es-ES_tradnl" w:eastAsia="es-MX"/>
        </w:rPr>
      </w:pPr>
    </w:p>
    <w:p w:rsidR="00FB07A0" w:rsidRDefault="00FB07A0" w:rsidP="00FB07A0">
      <w:pPr>
        <w:contextualSpacing/>
        <w:jc w:val="both"/>
        <w:rPr>
          <w:rFonts w:ascii="AvantGarde Bk BT" w:hAnsi="AvantGarde Bk BT" w:cstheme="minorBidi"/>
          <w:bCs/>
          <w:color w:val="000000" w:themeColor="text1"/>
          <w:sz w:val="22"/>
          <w:szCs w:val="22"/>
          <w:lang w:val="es-ES_tradnl" w:eastAsia="es-MX"/>
        </w:rPr>
      </w:pPr>
    </w:p>
    <w:p w:rsidR="00FB07A0" w:rsidRPr="00FB07A0" w:rsidRDefault="00FB07A0" w:rsidP="00FB07A0">
      <w:pPr>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En el caso de aquel alumno que por cualquier circunstancia no logre una calificación aprobatoria en el período ordinario y extraordinario, tendrá la oportunidad de repetir los cursos, como lo establecen los artículos 33 y 34 del ordenamiento en comento:</w:t>
      </w:r>
    </w:p>
    <w:p w:rsidR="004F4A03" w:rsidRPr="00D80170" w:rsidRDefault="004F4A03" w:rsidP="004F4A03">
      <w:pPr>
        <w:pStyle w:val="Prrafodelista"/>
        <w:ind w:left="720"/>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ind w:left="1416"/>
        <w:contextualSpacing/>
        <w:jc w:val="both"/>
        <w:rPr>
          <w:rFonts w:ascii="AvantGarde Bk BT" w:hAnsi="AvantGarde Bk BT" w:cstheme="minorBidi"/>
          <w:i/>
          <w:iCs/>
          <w:color w:val="000000" w:themeColor="text1"/>
          <w:sz w:val="22"/>
          <w:szCs w:val="22"/>
          <w:lang w:val="es-ES_tradnl" w:eastAsia="es-MX"/>
        </w:rPr>
      </w:pPr>
      <w:r w:rsidRPr="00D80170">
        <w:rPr>
          <w:rFonts w:ascii="AvantGarde Bk BT" w:hAnsi="AvantGarde Bk BT" w:cstheme="minorBidi"/>
          <w:b/>
          <w:i/>
          <w:iCs/>
          <w:color w:val="000000" w:themeColor="text1"/>
          <w:sz w:val="22"/>
          <w:szCs w:val="22"/>
          <w:lang w:val="es-ES_tradnl" w:eastAsia="es-MX"/>
        </w:rPr>
        <w:t>Artículo 33.</w:t>
      </w:r>
      <w:r w:rsidRPr="00D80170">
        <w:rPr>
          <w:rFonts w:ascii="AvantGarde Bk BT" w:hAnsi="AvantGarde Bk BT" w:cstheme="minorBidi"/>
          <w:i/>
          <w:iCs/>
          <w:color w:val="000000" w:themeColor="text1"/>
          <w:sz w:val="22"/>
          <w:szCs w:val="22"/>
          <w:lang w:val="es-ES_tradnl" w:eastAsia="es-MX"/>
        </w:rPr>
        <w:t xml:space="preserve"> El alumno que por cualquier circunstancia no logre una calificación aprobatoria en el periodo extraordinario, deberá repetir la materia en el ciclo escolar inmediato siguiente en que se ofrezca, teniendo la oportunidad de acreditarla durante el proceso de evaluación ordinario o en el periodo extraordinario, excepto para alumnos de posgrado.</w:t>
      </w:r>
    </w:p>
    <w:p w:rsidR="004F4A03" w:rsidRPr="00D80170" w:rsidRDefault="004F4A03" w:rsidP="004F4A03">
      <w:pPr>
        <w:pStyle w:val="Prrafodelista"/>
        <w:ind w:left="1416"/>
        <w:contextualSpacing/>
        <w:jc w:val="both"/>
        <w:rPr>
          <w:rFonts w:ascii="AvantGarde Bk BT" w:hAnsi="AvantGarde Bk BT" w:cstheme="minorBidi"/>
          <w:i/>
          <w:iCs/>
          <w:color w:val="000000" w:themeColor="text1"/>
          <w:sz w:val="22"/>
          <w:szCs w:val="22"/>
          <w:lang w:val="es-ES_tradnl" w:eastAsia="es-MX"/>
        </w:rPr>
      </w:pPr>
      <w:r w:rsidRPr="00D80170">
        <w:rPr>
          <w:rFonts w:ascii="AvantGarde Bk BT" w:hAnsi="AvantGarde Bk BT" w:cstheme="minorBidi"/>
          <w:i/>
          <w:iCs/>
          <w:color w:val="000000" w:themeColor="text1"/>
          <w:sz w:val="22"/>
          <w:szCs w:val="22"/>
          <w:lang w:val="es-ES_tradnl" w:eastAsia="es-MX"/>
        </w:rPr>
        <w:t>...</w:t>
      </w:r>
    </w:p>
    <w:p w:rsidR="004F4A03" w:rsidRPr="00D80170" w:rsidRDefault="004F4A03" w:rsidP="004F4A03">
      <w:pPr>
        <w:pStyle w:val="Prrafodelista"/>
        <w:ind w:left="1416"/>
        <w:contextualSpacing/>
        <w:jc w:val="both"/>
        <w:rPr>
          <w:rFonts w:ascii="AvantGarde Bk BT" w:hAnsi="AvantGarde Bk BT" w:cstheme="minorBidi"/>
          <w:b/>
          <w:i/>
          <w:iCs/>
          <w:color w:val="000000" w:themeColor="text1"/>
          <w:sz w:val="22"/>
          <w:szCs w:val="22"/>
          <w:lang w:val="es-ES_tradnl" w:eastAsia="es-MX"/>
        </w:rPr>
      </w:pPr>
    </w:p>
    <w:p w:rsidR="004F4A03" w:rsidRPr="00D80170" w:rsidRDefault="004F4A03" w:rsidP="004F4A03">
      <w:pPr>
        <w:pStyle w:val="Prrafodelista"/>
        <w:ind w:left="1416"/>
        <w:contextualSpacing/>
        <w:jc w:val="both"/>
        <w:rPr>
          <w:rFonts w:ascii="AvantGarde Bk BT" w:hAnsi="AvantGarde Bk BT" w:cstheme="minorBidi"/>
          <w:i/>
          <w:iCs/>
          <w:color w:val="000000" w:themeColor="text1"/>
          <w:sz w:val="22"/>
          <w:szCs w:val="22"/>
          <w:lang w:val="es-ES_tradnl" w:eastAsia="es-MX"/>
        </w:rPr>
      </w:pPr>
      <w:r w:rsidRPr="00D80170">
        <w:rPr>
          <w:rFonts w:ascii="AvantGarde Bk BT" w:hAnsi="AvantGarde Bk BT" w:cstheme="minorBidi"/>
          <w:b/>
          <w:i/>
          <w:iCs/>
          <w:color w:val="000000" w:themeColor="text1"/>
          <w:sz w:val="22"/>
          <w:szCs w:val="22"/>
          <w:lang w:val="es-ES_tradnl" w:eastAsia="es-MX"/>
        </w:rPr>
        <w:t>Artículo 34.</w:t>
      </w:r>
      <w:r w:rsidRPr="00D80170">
        <w:rPr>
          <w:rFonts w:ascii="AvantGarde Bk BT" w:hAnsi="AvantGarde Bk BT" w:cstheme="minorBidi"/>
          <w:i/>
          <w:iCs/>
          <w:color w:val="000000" w:themeColor="text1"/>
          <w:sz w:val="22"/>
          <w:szCs w:val="22"/>
          <w:lang w:val="es-ES_tradnl" w:eastAsia="es-MX"/>
        </w:rPr>
        <w:t xml:space="preserve"> El alumno que haya sido dado de baja conforme al artículo 33 de este ordenamiento podrá solicitar por escrito a la Comisión de Educación del Consejo de Centro o de Escuela, antes del inicio del ciclo inmediato siguiente en que haya sido dado de baja, una nueva oportunidad para acreditar la materia o materias que adeude.</w:t>
      </w:r>
    </w:p>
    <w:p w:rsidR="004F4A03" w:rsidRPr="00D80170" w:rsidRDefault="004F4A03" w:rsidP="004F4A03">
      <w:pPr>
        <w:pStyle w:val="Prrafodelista"/>
        <w:ind w:left="1416"/>
        <w:contextualSpacing/>
        <w:jc w:val="both"/>
        <w:rPr>
          <w:rFonts w:ascii="AvantGarde Bk BT" w:hAnsi="AvantGarde Bk BT" w:cstheme="minorBidi"/>
          <w:i/>
          <w:iCs/>
          <w:color w:val="000000" w:themeColor="text1"/>
          <w:sz w:val="22"/>
          <w:szCs w:val="22"/>
          <w:lang w:val="es-ES_tradnl" w:eastAsia="es-MX"/>
        </w:rPr>
      </w:pPr>
      <w:r w:rsidRPr="00D80170">
        <w:rPr>
          <w:rFonts w:ascii="AvantGarde Bk BT" w:hAnsi="AvantGarde Bk BT" w:cstheme="minorBidi"/>
          <w:i/>
          <w:iCs/>
          <w:color w:val="000000" w:themeColor="text1"/>
          <w:sz w:val="22"/>
          <w:szCs w:val="22"/>
          <w:lang w:val="es-ES_tradnl" w:eastAsia="es-MX"/>
        </w:rPr>
        <w:t>....</w:t>
      </w:r>
    </w:p>
    <w:p w:rsidR="004F4A03" w:rsidRPr="00D80170" w:rsidRDefault="004F4A03" w:rsidP="004F4A03">
      <w:pPr>
        <w:pStyle w:val="Prrafodelista"/>
        <w:ind w:left="720"/>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En el caso de los programas de posgrado, el RGEPA, prevé en su artículo 30 que, el examen de recuperación es la opción que se brinda a los estudiantes de posgrado, a petición expresa del interesado ante el Coordinador del Posgrado, cuando por alguna circunstancia no hayan aprobado satisfactoriamente la evaluación aplicada durante el desarrollo de la materia.</w:t>
      </w:r>
    </w:p>
    <w:p w:rsidR="004F4A03" w:rsidRPr="00D80170" w:rsidRDefault="004F4A03" w:rsidP="004F4A03">
      <w:pPr>
        <w:contextualSpacing/>
        <w:rPr>
          <w:rFonts w:ascii="AvantGarde Bk BT" w:hAnsi="AvantGarde Bk BT"/>
          <w:bCs/>
          <w:color w:val="000000" w:themeColor="text1"/>
          <w:sz w:val="22"/>
          <w:szCs w:val="22"/>
          <w:u w:val="single"/>
          <w:lang w:val="es-ES_tradnl"/>
        </w:rPr>
      </w:pPr>
    </w:p>
    <w:p w:rsidR="004F4A03" w:rsidRPr="00D80170" w:rsidRDefault="004F4A03" w:rsidP="004F4A03">
      <w:pPr>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t>B. RESPECTO DE LA PANDEMIA DE COVID-19</w:t>
      </w:r>
    </w:p>
    <w:p w:rsidR="004F4A03" w:rsidRPr="00D80170" w:rsidRDefault="004F4A03" w:rsidP="00E5243F">
      <w:pPr>
        <w:contextualSpacing/>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El día 11 de marzo de 2020, la Organización Mundial de la Salud (OMS) declaró que la enfermedad por el virus SARS-CoV2 (COVID-19) pasaría de ser una epidemia a convertirse en una pandemia</w:t>
      </w:r>
      <w:r w:rsidRPr="00D80170">
        <w:rPr>
          <w:rStyle w:val="Refdenotaalpie"/>
          <w:rFonts w:ascii="AvantGarde Bk BT" w:hAnsi="AvantGarde Bk BT" w:cstheme="minorBidi"/>
          <w:bCs/>
          <w:color w:val="000000" w:themeColor="text1"/>
          <w:sz w:val="22"/>
          <w:szCs w:val="22"/>
          <w:lang w:val="es-ES_tradnl" w:eastAsia="es-MX"/>
        </w:rPr>
        <w:footnoteReference w:id="1"/>
      </w:r>
      <w:r w:rsidRPr="00D80170">
        <w:rPr>
          <w:rFonts w:ascii="AvantGarde Bk BT" w:hAnsi="AvantGarde Bk BT" w:cstheme="minorBidi"/>
          <w:bCs/>
          <w:color w:val="000000" w:themeColor="text1"/>
          <w:sz w:val="22"/>
          <w:szCs w:val="22"/>
          <w:lang w:val="es-ES_tradnl" w:eastAsia="es-MX"/>
        </w:rPr>
        <w:t>.</w:t>
      </w:r>
    </w:p>
    <w:p w:rsidR="004F4A03" w:rsidRPr="00D80170" w:rsidRDefault="004F4A03" w:rsidP="00E5243F">
      <w:pPr>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Derivado de la contingencia suscitada a nivel mundial, tanto en el orden federal como en el estatal, se consideró el establecimiento de diversas disposiciones a efecto de prevenir, controlar y mitigar la dispersión y transmisión del virus SARS-CoV2 (COVID-19), siendo, entre otras, las siguientes:</w:t>
      </w:r>
    </w:p>
    <w:p w:rsidR="004F4A03" w:rsidRPr="00D80170" w:rsidRDefault="004F4A03" w:rsidP="004F4A03">
      <w:pPr>
        <w:pStyle w:val="Prrafodelista"/>
        <w:ind w:left="720"/>
        <w:contextualSpacing/>
        <w:jc w:val="both"/>
        <w:rPr>
          <w:rFonts w:ascii="AvantGarde Bk BT" w:hAnsi="AvantGarde Bk BT" w:cstheme="minorBidi"/>
          <w:bCs/>
          <w:color w:val="000000" w:themeColor="text1"/>
          <w:sz w:val="22"/>
          <w:szCs w:val="22"/>
          <w:lang w:val="es-ES_tradnl" w:eastAsia="es-MX"/>
        </w:rPr>
      </w:pPr>
    </w:p>
    <w:p w:rsidR="00FB07A0" w:rsidRDefault="00FB07A0">
      <w:pPr>
        <w:rPr>
          <w:rFonts w:ascii="AvantGarde Bk BT" w:hAnsi="AvantGarde Bk BT"/>
          <w:b/>
          <w:bCs/>
          <w:color w:val="000000" w:themeColor="text1"/>
          <w:sz w:val="22"/>
          <w:szCs w:val="22"/>
          <w:lang w:val="es-ES_tradnl" w:eastAsia="es-MX"/>
        </w:rPr>
      </w:pPr>
      <w:r>
        <w:rPr>
          <w:rFonts w:ascii="AvantGarde Bk BT" w:hAnsi="AvantGarde Bk BT"/>
          <w:b/>
          <w:bCs/>
          <w:color w:val="000000" w:themeColor="text1"/>
          <w:sz w:val="22"/>
          <w:szCs w:val="22"/>
          <w:lang w:val="es-ES_tradnl" w:eastAsia="es-MX"/>
        </w:rPr>
        <w:br w:type="page"/>
      </w:r>
    </w:p>
    <w:p w:rsidR="00CE04C9" w:rsidRDefault="00CE04C9" w:rsidP="004F4A03">
      <w:pPr>
        <w:ind w:firstLine="708"/>
        <w:contextualSpacing/>
        <w:jc w:val="both"/>
        <w:rPr>
          <w:rFonts w:ascii="AvantGarde Bk BT" w:hAnsi="AvantGarde Bk BT"/>
          <w:b/>
          <w:bCs/>
          <w:color w:val="000000" w:themeColor="text1"/>
          <w:sz w:val="22"/>
          <w:szCs w:val="22"/>
          <w:lang w:val="es-ES_tradnl" w:eastAsia="es-MX"/>
        </w:rPr>
      </w:pPr>
    </w:p>
    <w:p w:rsidR="004F4A03" w:rsidRPr="00D80170" w:rsidRDefault="004F4A03" w:rsidP="004F4A03">
      <w:pPr>
        <w:ind w:firstLine="708"/>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t>ORDEN FEDERAL</w:t>
      </w:r>
    </w:p>
    <w:p w:rsidR="004F4A03" w:rsidRPr="00D80170" w:rsidRDefault="004F4A03" w:rsidP="00E5243F">
      <w:pPr>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4"/>
        </w:numPr>
        <w:ind w:left="1560"/>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Acuerdo por el que se declara como emergencia sanitaria por causa de fuerza mayor, a la epidemia de enfermedad generada por el virus SARS-CoV2 (COVID-19), emitido por el Consejo de Salubridad General, publicado en el DOF, el 30 de marzo de 2020, con el propósito de proteger la salud de los mexicanos, así como recomendando que los habitantes del país permanezcan en sus casas.</w:t>
      </w:r>
    </w:p>
    <w:p w:rsidR="004F4A03" w:rsidRPr="00D80170" w:rsidRDefault="004F4A03" w:rsidP="00E5243F">
      <w:pPr>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4"/>
        </w:numPr>
        <w:ind w:left="1560"/>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Arial"/>
          <w:color w:val="000000" w:themeColor="text1"/>
          <w:sz w:val="22"/>
          <w:szCs w:val="22"/>
        </w:rPr>
        <w:t>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en las regiones afectadas de todo el territorio nacional en materia de salubridad general para combatir la enfermedad del COVID-19, emitido por la Secretaría de Salud y publicado en el DOF el día 14 de mayo de 2020. La estrategia radica en la apertura de las actividades de manera gradual considerando tres etapas: 1) reapertura de actividades en municipios donde no se presentaron casos de COVID-19; 2) Elaboración de protocolos de seguridad sanitaria, capacitación del personal sobre las medidas de prevención y seguridad en sus ámbitos de trabajo, implementación de filtros sanitarios e higiene en espacio laboral, entre otros; 3) Iniciar actividades conforme al sistema de semáforo por regiones para la reapertura de actividades sociales, educativas y económicas.</w:t>
      </w:r>
    </w:p>
    <w:p w:rsidR="004F4A03" w:rsidRPr="00D80170" w:rsidRDefault="004F4A03" w:rsidP="004F4A03">
      <w:pPr>
        <w:pStyle w:val="Prrafodelista"/>
        <w:ind w:left="1560"/>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4"/>
        </w:numPr>
        <w:ind w:left="1560"/>
        <w:contextualSpacing/>
        <w:jc w:val="both"/>
        <w:rPr>
          <w:rFonts w:ascii="AvantGarde Bk BT" w:hAnsi="AvantGarde Bk BT" w:cs="Arial"/>
          <w:color w:val="000000" w:themeColor="text1"/>
          <w:sz w:val="22"/>
        </w:rPr>
      </w:pPr>
      <w:r w:rsidRPr="00D80170">
        <w:rPr>
          <w:rFonts w:ascii="AvantGarde Bk BT" w:hAnsi="AvantGarde Bk BT" w:cs="Arial"/>
          <w:color w:val="000000" w:themeColor="text1"/>
          <w:sz w:val="22"/>
        </w:rPr>
        <w:t>Lineamientos para la estimación de riesgos del semáforo por regiones COVID-19, en los cuales se establece que el semáforo de riesgo epidémico COVID-19, el cual es de observancia general y de orden público en todas las entidades federativas y se analiza de forma semanal, así como orienta mediante colores, el nivel de riesgo poblacional y de incremento o decremento de la actividad epidémica local, así como las medidas de seguridad sanitaria apropiadas para la reapertura de las actividades laborales, educativas y el uso del espacio público, y se instrumentará por las autoridades federales, estatales, locales y por la ciudadanía en general. Asimismo, la estimación de riesgos se realizará de forma semanal y se presentará al público con una vigencia de dos semanas.</w:t>
      </w:r>
    </w:p>
    <w:p w:rsidR="004F4A03" w:rsidRPr="00D80170" w:rsidRDefault="004F4A03" w:rsidP="004F4A03">
      <w:pPr>
        <w:pStyle w:val="Prrafodelista"/>
        <w:ind w:left="1560"/>
        <w:contextualSpacing/>
        <w:jc w:val="both"/>
        <w:rPr>
          <w:rFonts w:ascii="AvantGarde Bk BT" w:hAnsi="AvantGarde Bk BT" w:cstheme="minorBidi"/>
          <w:bCs/>
          <w:color w:val="000000" w:themeColor="text1"/>
          <w:sz w:val="22"/>
          <w:szCs w:val="22"/>
          <w:lang w:val="es-ES_tradnl" w:eastAsia="es-MX"/>
        </w:rPr>
      </w:pPr>
    </w:p>
    <w:p w:rsidR="00FB07A0" w:rsidRDefault="00FB07A0">
      <w:pPr>
        <w:rPr>
          <w:rFonts w:ascii="AvantGarde Bk BT" w:hAnsi="AvantGarde Bk BT"/>
          <w:b/>
          <w:bCs/>
          <w:color w:val="000000" w:themeColor="text1"/>
          <w:sz w:val="22"/>
          <w:szCs w:val="22"/>
          <w:lang w:val="es-ES_tradnl" w:eastAsia="es-MX"/>
        </w:rPr>
      </w:pPr>
      <w:r>
        <w:rPr>
          <w:rFonts w:ascii="AvantGarde Bk BT" w:hAnsi="AvantGarde Bk BT"/>
          <w:b/>
          <w:bCs/>
          <w:color w:val="000000" w:themeColor="text1"/>
          <w:sz w:val="22"/>
          <w:szCs w:val="22"/>
          <w:lang w:val="es-ES_tradnl" w:eastAsia="es-MX"/>
        </w:rPr>
        <w:br w:type="page"/>
      </w:r>
    </w:p>
    <w:p w:rsidR="004F4A03" w:rsidRPr="00D80170" w:rsidRDefault="004F4A03" w:rsidP="004F4A03">
      <w:pPr>
        <w:ind w:firstLine="708"/>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lastRenderedPageBreak/>
        <w:t>ORDEN ESTATAL</w:t>
      </w:r>
    </w:p>
    <w:p w:rsidR="004F4A03" w:rsidRPr="00D80170" w:rsidRDefault="004F4A03" w:rsidP="00F35647">
      <w:pPr>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pStyle w:val="Prrafodelista"/>
        <w:numPr>
          <w:ilvl w:val="0"/>
          <w:numId w:val="5"/>
        </w:numPr>
        <w:ind w:left="1560"/>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Acuerdo del Secretario de Salud mediante el cual se emiten los Criterios y Lineamientos para prevenir, contener, diagnosticar y atender la pandemia de COVID-19 en el Estado de Jalisco, publicado el pasado 17 de marzo de 2020 en el Periódico Oficial “El Estado de Jalisco” (POEJ), en el cual se recomienda en el Criterio Tercero, la suspensión de actividades escolares en el nivel básico, media superior y superior, por el riesgo que conlleva la concentración e interrelación del grupo de población en establecimientos escolares, propiciando el contagio de la enfermedad.</w:t>
      </w:r>
    </w:p>
    <w:p w:rsidR="004F4A03" w:rsidRPr="00D80170" w:rsidRDefault="004F4A03" w:rsidP="00F35647">
      <w:pPr>
        <w:rPr>
          <w:rFonts w:ascii="AvantGarde Bk BT" w:hAnsi="AvantGarde Bk BT"/>
          <w:bCs/>
          <w:color w:val="000000" w:themeColor="text1"/>
          <w:sz w:val="22"/>
          <w:szCs w:val="22"/>
          <w:lang w:val="es-ES_tradnl" w:eastAsia="es-MX"/>
        </w:rPr>
      </w:pPr>
    </w:p>
    <w:p w:rsidR="004F4A03" w:rsidRPr="00D80170" w:rsidRDefault="004F4A03" w:rsidP="004F4A03">
      <w:pPr>
        <w:pStyle w:val="Prrafodelista"/>
        <w:numPr>
          <w:ilvl w:val="0"/>
          <w:numId w:val="5"/>
        </w:numPr>
        <w:ind w:left="1560"/>
        <w:contextualSpacing/>
        <w:jc w:val="both"/>
        <w:rPr>
          <w:rFonts w:ascii="AvantGarde Bk BT" w:hAnsi="AvantGarde Bk BT" w:cstheme="minorBidi"/>
          <w:bCs/>
          <w:color w:val="000000" w:themeColor="text1"/>
          <w:sz w:val="22"/>
          <w:lang w:val="es-ES_tradnl" w:eastAsia="es-MX"/>
        </w:rPr>
      </w:pPr>
      <w:r w:rsidRPr="00D80170">
        <w:rPr>
          <w:rFonts w:ascii="AvantGarde Bk BT" w:hAnsi="AvantGarde Bk BT" w:cstheme="minorBidi"/>
          <w:bCs/>
          <w:color w:val="000000" w:themeColor="text1"/>
          <w:sz w:val="22"/>
          <w:lang w:val="es-ES_tradnl" w:eastAsia="es-MX"/>
        </w:rPr>
        <w:t xml:space="preserve">Acuerdo DIELAG ACU 013/2021 del Gobernador Constitucional del Estado Libre y Soberano de Jalisco, mediante el cual se emiten diversas medidas de seguridad sanitaria para el aislamiento social, de carácter general y obligatorio, con motivo de la pandemia de COVID-19, publicado el 12 de febrero de 2021 en el POEJ, el cual prevé en el numeral 1 de la fracción VI del acuerdo Primero que se mantiene la suspensión de clases presenciales en los planteles de todos los niveles educativos públicos o privados, durante el ciclo escolar 2020-2021. </w:t>
      </w:r>
    </w:p>
    <w:p w:rsidR="004F4A03" w:rsidRPr="00D80170" w:rsidRDefault="004F4A03" w:rsidP="004F4A03">
      <w:pPr>
        <w:pStyle w:val="Prrafodelista"/>
        <w:ind w:left="1560"/>
        <w:contextualSpacing/>
        <w:jc w:val="both"/>
        <w:rPr>
          <w:rFonts w:ascii="AvantGarde Bk BT" w:hAnsi="AvantGarde Bk BT" w:cstheme="minorBidi"/>
          <w:bCs/>
          <w:color w:val="000000" w:themeColor="text1"/>
          <w:sz w:val="22"/>
          <w:lang w:val="es-ES_tradnl" w:eastAsia="es-MX"/>
        </w:rPr>
      </w:pPr>
    </w:p>
    <w:p w:rsidR="004F4A03" w:rsidRPr="00D80170" w:rsidRDefault="004F4A03" w:rsidP="004F4A03">
      <w:pPr>
        <w:pStyle w:val="Prrafodelista"/>
        <w:ind w:left="1560"/>
        <w:contextualSpacing/>
        <w:jc w:val="both"/>
        <w:rPr>
          <w:rFonts w:ascii="AvantGarde Bk BT" w:hAnsi="AvantGarde Bk BT" w:cstheme="minorBidi"/>
          <w:bCs/>
          <w:color w:val="000000" w:themeColor="text1"/>
          <w:sz w:val="22"/>
          <w:lang w:val="es-ES_tradnl" w:eastAsia="es-MX"/>
        </w:rPr>
      </w:pPr>
      <w:r w:rsidRPr="00D80170">
        <w:rPr>
          <w:rFonts w:ascii="AvantGarde Bk BT" w:hAnsi="AvantGarde Bk BT" w:cstheme="minorBidi"/>
          <w:bCs/>
          <w:color w:val="000000" w:themeColor="text1"/>
          <w:sz w:val="22"/>
          <w:lang w:val="es-ES_tradnl" w:eastAsia="es-MX"/>
        </w:rPr>
        <w:t>Dicho Acuerdo contempla que las medidas de seguridad sanitaria estarán vigentes a partir del 13 de febrero hasta el 15 de diciembre de 2021, pudiendo ampliarse su vigencia o modificarse en caso de ser necesario.</w:t>
      </w:r>
    </w:p>
    <w:p w:rsidR="004F4A03" w:rsidRPr="00D80170" w:rsidRDefault="004F4A03" w:rsidP="004F4A03">
      <w:pPr>
        <w:pStyle w:val="Prrafodelista"/>
        <w:ind w:left="1560"/>
        <w:contextualSpacing/>
        <w:jc w:val="both"/>
        <w:rPr>
          <w:rFonts w:ascii="AvantGarde Bk BT" w:hAnsi="AvantGarde Bk BT" w:cstheme="minorBidi"/>
          <w:bCs/>
          <w:color w:val="000000" w:themeColor="text1"/>
          <w:sz w:val="22"/>
          <w:szCs w:val="22"/>
          <w:lang w:val="es-ES_tradnl" w:eastAsia="es-MX"/>
        </w:rPr>
      </w:pPr>
    </w:p>
    <w:p w:rsidR="004F4A03" w:rsidRPr="00D80170" w:rsidRDefault="004F4A03" w:rsidP="004F4A03">
      <w:pPr>
        <w:ind w:firstLine="708"/>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t>ORDEN UNIVERSITARIO</w:t>
      </w:r>
    </w:p>
    <w:p w:rsidR="004F4A03" w:rsidRPr="00D80170" w:rsidRDefault="004F4A03" w:rsidP="004F4A03">
      <w:pPr>
        <w:contextualSpacing/>
        <w:jc w:val="both"/>
        <w:rPr>
          <w:rFonts w:ascii="AvantGarde Bk BT" w:hAnsi="AvantGarde Bk BT"/>
          <w:bCs/>
          <w:color w:val="000000" w:themeColor="text1"/>
          <w:sz w:val="22"/>
          <w:szCs w:val="22"/>
          <w:lang w:val="es-ES_tradnl" w:eastAsia="es-MX"/>
        </w:rPr>
      </w:pPr>
    </w:p>
    <w:p w:rsidR="004F4A03" w:rsidRPr="00D8017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D80170">
        <w:rPr>
          <w:rFonts w:ascii="AvantGarde Bk BT" w:hAnsi="AvantGarde Bk BT" w:cstheme="minorBidi"/>
          <w:bCs/>
          <w:color w:val="000000" w:themeColor="text1"/>
          <w:sz w:val="22"/>
          <w:szCs w:val="22"/>
          <w:lang w:val="es-ES_tradnl" w:eastAsia="es-MX"/>
        </w:rPr>
        <w:t>Al respecto, y en torno a las medidas establecidas antes descritas, la Universidad de Guadalajara implementó diversas acciones, con el fin de reducir los impactos del COVID-19 en nuestra comunidad universitaria, así como en cumplimiento a las medidas de prevención recomendadas en materia de salud, por lo anterior desde el mes de marzo de 2020 se han emitido diversas circulares al respecto, y por lo que ve al ciclo escolar 2021 “A”, es importante señalar que desde la circular No. 1 (emitida el 04 de enero de 2021) hasta la No. 13 (emitida el 30 de abril de 2021), se estableció, entre otras cosas, lo siguiente:</w:t>
      </w:r>
    </w:p>
    <w:p w:rsidR="004F4A03" w:rsidRPr="00D80170" w:rsidRDefault="004F4A03" w:rsidP="004F4A03">
      <w:pPr>
        <w:contextualSpacing/>
        <w:jc w:val="both"/>
        <w:rPr>
          <w:rFonts w:ascii="AvantGarde Bk BT" w:hAnsi="AvantGarde Bk BT"/>
          <w:bCs/>
          <w:color w:val="000000" w:themeColor="text1"/>
          <w:sz w:val="22"/>
          <w:szCs w:val="22"/>
          <w:lang w:val="es-ES_tradnl" w:eastAsia="es-MX"/>
        </w:rPr>
      </w:pPr>
    </w:p>
    <w:p w:rsidR="004F4A03" w:rsidRPr="00D80170" w:rsidRDefault="004F4A03" w:rsidP="004F4A03">
      <w:pPr>
        <w:pStyle w:val="Prrafodelista"/>
        <w:numPr>
          <w:ilvl w:val="0"/>
          <w:numId w:val="6"/>
        </w:numPr>
        <w:ind w:left="1080"/>
        <w:contextualSpacing/>
        <w:jc w:val="both"/>
        <w:rPr>
          <w:rFonts w:ascii="AvantGarde Bk BT" w:hAnsi="AvantGarde Bk BT"/>
          <w:bCs/>
          <w:color w:val="000000" w:themeColor="text1"/>
          <w:sz w:val="22"/>
          <w:szCs w:val="22"/>
          <w:lang w:val="es-ES_tradnl" w:eastAsia="es-MX"/>
        </w:rPr>
      </w:pPr>
      <w:r w:rsidRPr="00D80170">
        <w:rPr>
          <w:rFonts w:ascii="AvantGarde Bk BT" w:hAnsi="AvantGarde Bk BT"/>
          <w:bCs/>
          <w:color w:val="000000" w:themeColor="text1"/>
          <w:sz w:val="22"/>
          <w:szCs w:val="22"/>
          <w:lang w:val="es-ES_tradnl" w:eastAsia="es-MX"/>
        </w:rPr>
        <w:t>Que las clases y actividades académicas continuarán de manera virtual, y según lo establecido en la circular No. 13, dicha disposición será aplicable hasta el 29 de mayo de 2021.</w:t>
      </w:r>
    </w:p>
    <w:p w:rsidR="00FB07A0" w:rsidRDefault="00FB07A0">
      <w:pPr>
        <w:rPr>
          <w:rFonts w:ascii="AvantGarde Bk BT" w:hAnsi="AvantGarde Bk BT" w:cstheme="minorBidi"/>
          <w:bCs/>
          <w:color w:val="000000" w:themeColor="text1"/>
          <w:sz w:val="22"/>
          <w:szCs w:val="22"/>
          <w:lang w:val="es-ES_tradnl" w:eastAsia="es-MX"/>
        </w:rPr>
      </w:pPr>
      <w:r>
        <w:rPr>
          <w:rFonts w:ascii="AvantGarde Bk BT" w:hAnsi="AvantGarde Bk BT" w:cstheme="minorBidi"/>
          <w:bCs/>
          <w:color w:val="000000" w:themeColor="text1"/>
          <w:sz w:val="22"/>
          <w:szCs w:val="22"/>
          <w:lang w:val="es-ES_tradnl" w:eastAsia="es-MX"/>
        </w:rPr>
        <w:br w:type="page"/>
      </w:r>
    </w:p>
    <w:p w:rsidR="004F4A03" w:rsidRDefault="004F4A03" w:rsidP="004F4A03">
      <w:pPr>
        <w:pStyle w:val="Prrafodelista"/>
        <w:ind w:left="1080"/>
        <w:contextualSpacing/>
        <w:jc w:val="both"/>
        <w:rPr>
          <w:rFonts w:ascii="AvantGarde Bk BT" w:hAnsi="AvantGarde Bk BT" w:cstheme="minorBidi"/>
          <w:bCs/>
          <w:color w:val="000000" w:themeColor="text1"/>
          <w:sz w:val="22"/>
          <w:szCs w:val="22"/>
          <w:lang w:val="es-ES_tradnl" w:eastAsia="es-MX"/>
        </w:rPr>
      </w:pPr>
    </w:p>
    <w:p w:rsidR="00FB07A0" w:rsidRDefault="00FB07A0" w:rsidP="004F4A03">
      <w:pPr>
        <w:pStyle w:val="Prrafodelista"/>
        <w:ind w:left="1080"/>
        <w:contextualSpacing/>
        <w:jc w:val="both"/>
        <w:rPr>
          <w:rFonts w:ascii="AvantGarde Bk BT" w:hAnsi="AvantGarde Bk BT" w:cstheme="minorBidi"/>
          <w:bCs/>
          <w:color w:val="000000" w:themeColor="text1"/>
          <w:sz w:val="22"/>
          <w:szCs w:val="22"/>
          <w:lang w:val="es-ES_tradnl" w:eastAsia="es-MX"/>
        </w:rPr>
      </w:pPr>
    </w:p>
    <w:p w:rsidR="00FB07A0" w:rsidRDefault="00FB07A0" w:rsidP="004F4A03">
      <w:pPr>
        <w:pStyle w:val="Prrafodelista"/>
        <w:ind w:left="1080"/>
        <w:contextualSpacing/>
        <w:jc w:val="both"/>
        <w:rPr>
          <w:rFonts w:ascii="AvantGarde Bk BT" w:hAnsi="AvantGarde Bk BT" w:cstheme="minorBidi"/>
          <w:bCs/>
          <w:color w:val="000000" w:themeColor="text1"/>
          <w:sz w:val="22"/>
          <w:szCs w:val="22"/>
          <w:lang w:val="es-ES_tradnl" w:eastAsia="es-MX"/>
        </w:rPr>
      </w:pPr>
    </w:p>
    <w:p w:rsidR="00CE04C9" w:rsidRDefault="00CE04C9" w:rsidP="004F4A03">
      <w:pPr>
        <w:pStyle w:val="Prrafodelista"/>
        <w:ind w:left="1080"/>
        <w:contextualSpacing/>
        <w:jc w:val="both"/>
        <w:rPr>
          <w:rFonts w:ascii="AvantGarde Bk BT" w:hAnsi="AvantGarde Bk BT" w:cstheme="minorBidi"/>
          <w:bCs/>
          <w:color w:val="000000" w:themeColor="text1"/>
          <w:sz w:val="22"/>
          <w:szCs w:val="22"/>
          <w:lang w:val="es-ES_tradnl" w:eastAsia="es-MX"/>
        </w:rPr>
      </w:pPr>
    </w:p>
    <w:p w:rsidR="00CE04C9" w:rsidRPr="00D80170" w:rsidRDefault="00CE04C9" w:rsidP="004F4A03">
      <w:pPr>
        <w:pStyle w:val="Prrafodelista"/>
        <w:ind w:left="1080"/>
        <w:contextualSpacing/>
        <w:jc w:val="both"/>
        <w:rPr>
          <w:rFonts w:ascii="AvantGarde Bk BT" w:hAnsi="AvantGarde Bk BT" w:cstheme="minorBidi"/>
          <w:bCs/>
          <w:color w:val="000000" w:themeColor="text1"/>
          <w:sz w:val="22"/>
          <w:szCs w:val="22"/>
          <w:lang w:val="es-ES_tradnl" w:eastAsia="es-MX"/>
        </w:rPr>
      </w:pPr>
    </w:p>
    <w:p w:rsidR="004F4A03" w:rsidRPr="00D80170" w:rsidRDefault="00F35647" w:rsidP="004F4A03">
      <w:pPr>
        <w:pStyle w:val="Prrafodelista"/>
        <w:numPr>
          <w:ilvl w:val="0"/>
          <w:numId w:val="6"/>
        </w:numPr>
        <w:ind w:left="1080"/>
        <w:contextualSpacing/>
        <w:jc w:val="both"/>
        <w:rPr>
          <w:rFonts w:ascii="AvantGarde Bk BT" w:hAnsi="AvantGarde Bk BT"/>
          <w:bCs/>
          <w:color w:val="000000" w:themeColor="text1"/>
          <w:sz w:val="20"/>
          <w:szCs w:val="22"/>
          <w:lang w:val="es-ES_tradnl" w:eastAsia="es-MX"/>
        </w:rPr>
      </w:pPr>
      <w:r w:rsidRPr="00D80170">
        <w:rPr>
          <w:rFonts w:ascii="AvantGarde Bk BT" w:hAnsi="AvantGarde Bk BT" w:cstheme="minorBidi"/>
          <w:bCs/>
          <w:color w:val="000000" w:themeColor="text1"/>
          <w:sz w:val="22"/>
          <w:szCs w:val="22"/>
          <w:lang w:val="es-ES_tradnl" w:eastAsia="es-MX"/>
        </w:rPr>
        <w:t>T</w:t>
      </w:r>
      <w:r w:rsidR="004F4A03" w:rsidRPr="00D80170">
        <w:rPr>
          <w:rFonts w:ascii="AvantGarde Bk BT" w:hAnsi="AvantGarde Bk BT" w:cstheme="minorBidi"/>
          <w:bCs/>
          <w:color w:val="000000" w:themeColor="text1"/>
          <w:sz w:val="22"/>
          <w:szCs w:val="22"/>
          <w:lang w:val="es-ES_tradnl" w:eastAsia="es-MX"/>
        </w:rPr>
        <w:t xml:space="preserve">odos los servicios, actividades administrativas y operativas de la Institución, se </w:t>
      </w:r>
      <w:r w:rsidR="004F4A03" w:rsidRPr="00D80170">
        <w:rPr>
          <w:rFonts w:ascii="AvantGarde Bk BT" w:hAnsi="AvantGarde Bk BT" w:cstheme="minorBidi"/>
          <w:bCs/>
          <w:color w:val="000000" w:themeColor="text1"/>
          <w:sz w:val="22"/>
          <w:lang w:val="es-ES_tradnl" w:eastAsia="es-MX"/>
        </w:rPr>
        <w:t>desarrollarán de manera presencial, garantizando en todo momento, que</w:t>
      </w:r>
      <w:r w:rsidR="004F4A03" w:rsidRPr="00D80170">
        <w:rPr>
          <w:rFonts w:ascii="AvantGarde Bk BT" w:hAnsi="AvantGarde Bk BT" w:cstheme="minorBidi"/>
          <w:bCs/>
          <w:color w:val="000000" w:themeColor="text1"/>
          <w:sz w:val="20"/>
          <w:szCs w:val="22"/>
          <w:lang w:val="es-ES_tradnl" w:eastAsia="es-MX"/>
        </w:rPr>
        <w:t xml:space="preserve"> </w:t>
      </w:r>
      <w:r w:rsidR="004F4A03" w:rsidRPr="00D80170">
        <w:rPr>
          <w:rFonts w:ascii="AvantGarde Bk BT" w:hAnsi="AvantGarde Bk BT" w:cstheme="minorBidi"/>
          <w:bCs/>
          <w:color w:val="000000" w:themeColor="text1"/>
          <w:sz w:val="22"/>
          <w:szCs w:val="22"/>
          <w:lang w:val="es-ES_tradnl" w:eastAsia="es-MX"/>
        </w:rPr>
        <w:t xml:space="preserve">se atiendan las recomendaciones para </w:t>
      </w:r>
      <w:r w:rsidR="004F4A03" w:rsidRPr="00D80170">
        <w:rPr>
          <w:rFonts w:ascii="AvantGarde Bk BT" w:hAnsi="AvantGarde Bk BT"/>
          <w:bCs/>
          <w:color w:val="000000" w:themeColor="text1"/>
          <w:sz w:val="22"/>
          <w:szCs w:val="22"/>
          <w:lang w:val="es-ES_tradnl" w:eastAsia="es-MX"/>
        </w:rPr>
        <w:t xml:space="preserve">prevenir, contener, diagnosticar y atender la pandemia de COVID-19. </w:t>
      </w:r>
      <w:r w:rsidR="004F4A03" w:rsidRPr="00D80170">
        <w:rPr>
          <w:rFonts w:ascii="AvantGarde Bk BT" w:hAnsi="AvantGarde Bk BT"/>
          <w:bCs/>
          <w:color w:val="000000" w:themeColor="text1"/>
          <w:sz w:val="22"/>
          <w:lang w:val="es-ES_tradnl" w:eastAsia="es-MX"/>
        </w:rPr>
        <w:t xml:space="preserve">Asimismo, el titular de cada dependencia universitaria </w:t>
      </w:r>
      <w:r w:rsidR="004F4A03" w:rsidRPr="00D80170">
        <w:rPr>
          <w:rFonts w:ascii="AvantGarde Bk BT" w:hAnsi="AvantGarde Bk BT" w:cstheme="minorBidi"/>
          <w:bCs/>
          <w:color w:val="000000" w:themeColor="text1"/>
          <w:sz w:val="22"/>
          <w:lang w:val="es-ES_tradnl" w:eastAsia="es-MX"/>
        </w:rPr>
        <w:t>establecerá las actividades que serán atendidas, por excepción, a distancia o de manera virtual.</w:t>
      </w:r>
    </w:p>
    <w:p w:rsidR="004F4A03" w:rsidRPr="00D80170" w:rsidRDefault="004F4A03" w:rsidP="004F4A03">
      <w:pPr>
        <w:contextualSpacing/>
        <w:rPr>
          <w:rFonts w:ascii="AvantGarde Bk BT" w:hAnsi="AvantGarde Bk BT"/>
          <w:bCs/>
          <w:color w:val="000000" w:themeColor="text1"/>
          <w:sz w:val="22"/>
          <w:szCs w:val="22"/>
          <w:lang w:val="es-ES_tradnl" w:eastAsia="es-MX"/>
        </w:rPr>
      </w:pPr>
    </w:p>
    <w:p w:rsidR="004F4A03" w:rsidRPr="00464D59" w:rsidRDefault="004F4A03" w:rsidP="004F4A03">
      <w:pPr>
        <w:contextualSpacing/>
        <w:jc w:val="both"/>
        <w:rPr>
          <w:rFonts w:ascii="AvantGarde Bk BT" w:hAnsi="AvantGarde Bk BT"/>
          <w:b/>
          <w:bCs/>
          <w:color w:val="000000" w:themeColor="text1"/>
          <w:sz w:val="22"/>
          <w:szCs w:val="22"/>
          <w:lang w:val="es-ES_tradnl" w:eastAsia="es-MX"/>
        </w:rPr>
      </w:pPr>
      <w:r w:rsidRPr="00D80170">
        <w:rPr>
          <w:rFonts w:ascii="AvantGarde Bk BT" w:hAnsi="AvantGarde Bk BT"/>
          <w:b/>
          <w:bCs/>
          <w:color w:val="000000" w:themeColor="text1"/>
          <w:sz w:val="22"/>
          <w:szCs w:val="22"/>
          <w:lang w:val="es-ES_tradnl" w:eastAsia="es-MX"/>
        </w:rPr>
        <w:t>C. RESPECTO DE LA POSIBILIDAD DE QUE EN EL CICLO ESCOLAR 2021 “A”, LOS ALUMNOS QUE SE SITÚEN EN EL SUPUESTO ESTABLECIDO EN EL ARTÍCULO 35 DEL REGLAMENTO GENERAL DE EVALUACIÓN Y PROMOCIÓN DE ALUMNOS DE LA UNIVERSIDAD DE GUADALAJARA</w:t>
      </w:r>
      <w:r w:rsidRPr="00464D59">
        <w:rPr>
          <w:rFonts w:ascii="AvantGarde Bk BT" w:hAnsi="AvantGarde Bk BT"/>
          <w:b/>
          <w:bCs/>
          <w:color w:val="000000" w:themeColor="text1"/>
          <w:sz w:val="22"/>
          <w:szCs w:val="22"/>
          <w:lang w:val="es-ES_tradnl" w:eastAsia="es-MX"/>
        </w:rPr>
        <w:t>, NO SEAN DADOS DE BAJA</w:t>
      </w:r>
    </w:p>
    <w:p w:rsidR="004F4A03" w:rsidRPr="00464D59" w:rsidRDefault="004F4A03" w:rsidP="004F4A03">
      <w:pPr>
        <w:contextualSpacing/>
        <w:rPr>
          <w:rFonts w:ascii="AvantGarde Bk BT" w:hAnsi="AvantGarde Bk BT"/>
          <w:bCs/>
          <w:color w:val="000000" w:themeColor="text1"/>
          <w:sz w:val="22"/>
          <w:szCs w:val="22"/>
          <w:lang w:val="es-ES_tradnl" w:eastAsia="es-MX"/>
        </w:rPr>
      </w:pPr>
    </w:p>
    <w:p w:rsidR="004F4A03" w:rsidRPr="00464D59"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La aplicación de las medidas de prevención ante la pandemia que se presenta, han propiciado que tan sólo en América Latina y el Caribe, de acuerdo con cifras del Banco Mundial, se hayan visto afectados el 100% de los estudiantes de educación superior.</w:t>
      </w:r>
    </w:p>
    <w:p w:rsidR="004F4A03" w:rsidRPr="00FB6C8B" w:rsidRDefault="004F4A03" w:rsidP="00FB6C8B">
      <w:pPr>
        <w:contextualSpacing/>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El Director del Instituto Internacional de la UNESCO para la Educación Superior en América Latina y el C</w:t>
      </w:r>
      <w:r>
        <w:rPr>
          <w:rFonts w:ascii="AvantGarde Bk BT" w:hAnsi="AvantGarde Bk BT" w:cstheme="minorBidi"/>
          <w:bCs/>
          <w:color w:val="000000" w:themeColor="text1"/>
          <w:sz w:val="22"/>
          <w:szCs w:val="22"/>
          <w:lang w:val="es-ES_tradnl" w:eastAsia="es-MX"/>
        </w:rPr>
        <w:t xml:space="preserve">aribe (IESALC), Francesc </w:t>
      </w:r>
      <w:proofErr w:type="spellStart"/>
      <w:r>
        <w:rPr>
          <w:rFonts w:ascii="AvantGarde Bk BT" w:hAnsi="AvantGarde Bk BT" w:cstheme="minorBidi"/>
          <w:bCs/>
          <w:color w:val="000000" w:themeColor="text1"/>
          <w:sz w:val="22"/>
          <w:szCs w:val="22"/>
          <w:lang w:val="es-ES_tradnl" w:eastAsia="es-MX"/>
        </w:rPr>
        <w:t>Pedró</w:t>
      </w:r>
      <w:proofErr w:type="spellEnd"/>
      <w:r>
        <w:rPr>
          <w:rFonts w:ascii="AvantGarde Bk BT" w:hAnsi="AvantGarde Bk BT" w:cstheme="minorBidi"/>
          <w:bCs/>
          <w:color w:val="000000" w:themeColor="text1"/>
          <w:sz w:val="22"/>
          <w:szCs w:val="22"/>
          <w:lang w:val="es-ES_tradnl" w:eastAsia="es-MX"/>
        </w:rPr>
        <w:t xml:space="preserve">, </w:t>
      </w:r>
      <w:r w:rsidRPr="00464D59">
        <w:rPr>
          <w:rFonts w:ascii="AvantGarde Bk BT" w:hAnsi="AvantGarde Bk BT" w:cstheme="minorBidi"/>
          <w:bCs/>
          <w:color w:val="000000" w:themeColor="text1"/>
          <w:sz w:val="22"/>
          <w:szCs w:val="22"/>
          <w:lang w:val="es-ES_tradnl" w:eastAsia="es-MX"/>
        </w:rPr>
        <w:t>destacó que aquellos estudiantes de las clases económicas menos favorecidas se han visto afectados por el confinamiento y por el impacto económico que ha generado la pandemia. Por ello, hace mención que es necesario buscar alternativas para que los estudiantes no se queden atrás. Además de reconocer el papel de las universidades en este contexto y que no sean vistas como una fuente de gastos, sino como una palanca para el ascenso social y económico</w:t>
      </w:r>
      <w:r w:rsidRPr="00464D59">
        <w:rPr>
          <w:rStyle w:val="Refdenotaalpie"/>
          <w:rFonts w:ascii="AvantGarde Bk BT" w:hAnsi="AvantGarde Bk BT" w:cstheme="minorBidi"/>
          <w:bCs/>
          <w:color w:val="000000" w:themeColor="text1"/>
          <w:sz w:val="22"/>
          <w:szCs w:val="22"/>
          <w:lang w:val="es-ES_tradnl" w:eastAsia="es-MX"/>
        </w:rPr>
        <w:footnoteReference w:id="2"/>
      </w:r>
      <w:r w:rsidRPr="00464D59">
        <w:rPr>
          <w:rFonts w:ascii="AvantGarde Bk BT" w:hAnsi="AvantGarde Bk BT" w:cstheme="minorBidi"/>
          <w:bCs/>
          <w:color w:val="000000" w:themeColor="text1"/>
          <w:sz w:val="22"/>
          <w:szCs w:val="22"/>
          <w:lang w:val="es-ES_tradnl" w:eastAsia="es-MX"/>
        </w:rPr>
        <w:t>.</w:t>
      </w:r>
    </w:p>
    <w:p w:rsidR="004F4A03" w:rsidRPr="00464D59" w:rsidRDefault="004F4A03" w:rsidP="004F4A03">
      <w:pPr>
        <w:rPr>
          <w:rFonts w:ascii="AvantGarde Bk BT" w:hAnsi="AvantGarde Bk BT" w:cstheme="minorBidi"/>
          <w:bCs/>
          <w:color w:val="000000" w:themeColor="text1"/>
          <w:sz w:val="22"/>
          <w:szCs w:val="22"/>
          <w:lang w:val="es-ES_tradnl" w:eastAsia="es-MX"/>
        </w:rPr>
      </w:pPr>
    </w:p>
    <w:p w:rsidR="004F4A03" w:rsidRPr="002806B0"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2806B0">
        <w:rPr>
          <w:rFonts w:ascii="AvantGarde Bk BT" w:hAnsi="AvantGarde Bk BT" w:cstheme="minorBidi"/>
          <w:bCs/>
          <w:color w:val="000000" w:themeColor="text1"/>
          <w:sz w:val="22"/>
          <w:szCs w:val="22"/>
          <w:lang w:val="es-ES_tradnl" w:eastAsia="es-MX"/>
        </w:rPr>
        <w:t>La UNESCO refiere que un año después del inicio de la pandemia de COVID-19, casi la mitad de los educandos del mundo siguen afectados por el cierre parcial o total de las escuelas, y más de otros 100 millones de niños no alcanzarán el nivel mínimo en lectura, como consecuencia de la crisis sanitaria. Asimismo, en la reunión ministerial de alto nivel celebrada en marzo de 2021, se subrayó que dar prioridad a la recuperación de la educación es esencial para evitar una catástrofe generacional</w:t>
      </w:r>
      <w:r w:rsidRPr="002806B0">
        <w:rPr>
          <w:rStyle w:val="Refdenotaalpie"/>
          <w:rFonts w:ascii="AvantGarde Bk BT" w:hAnsi="AvantGarde Bk BT" w:cstheme="minorBidi"/>
          <w:bCs/>
          <w:color w:val="000000" w:themeColor="text1"/>
          <w:sz w:val="22"/>
          <w:szCs w:val="22"/>
          <w:lang w:val="es-ES_tradnl" w:eastAsia="es-MX"/>
        </w:rPr>
        <w:footnoteReference w:id="3"/>
      </w:r>
      <w:r w:rsidRPr="002806B0">
        <w:rPr>
          <w:rFonts w:ascii="AvantGarde Bk BT" w:hAnsi="AvantGarde Bk BT" w:cstheme="minorBidi"/>
          <w:bCs/>
          <w:color w:val="000000" w:themeColor="text1"/>
          <w:sz w:val="22"/>
          <w:szCs w:val="22"/>
          <w:lang w:val="es-ES_tradnl" w:eastAsia="es-MX"/>
        </w:rPr>
        <w:t>.</w:t>
      </w:r>
    </w:p>
    <w:p w:rsidR="00FB07A0" w:rsidRDefault="00FB07A0">
      <w:pPr>
        <w:rPr>
          <w:rFonts w:ascii="AvantGarde Bk BT" w:hAnsi="AvantGarde Bk BT" w:cstheme="minorBidi"/>
          <w:bCs/>
          <w:color w:val="000000" w:themeColor="text1"/>
          <w:sz w:val="22"/>
          <w:szCs w:val="22"/>
          <w:lang w:val="es-ES_tradnl" w:eastAsia="es-MX"/>
        </w:rPr>
      </w:pPr>
      <w:r>
        <w:rPr>
          <w:rFonts w:ascii="AvantGarde Bk BT" w:hAnsi="AvantGarde Bk BT" w:cstheme="minorBidi"/>
          <w:bCs/>
          <w:color w:val="000000" w:themeColor="text1"/>
          <w:sz w:val="22"/>
          <w:szCs w:val="22"/>
          <w:lang w:val="es-ES_tradnl" w:eastAsia="es-MX"/>
        </w:rPr>
        <w:br w:type="page"/>
      </w:r>
    </w:p>
    <w:p w:rsidR="004F4A03" w:rsidRDefault="004F4A03" w:rsidP="004F4A03">
      <w:pPr>
        <w:pStyle w:val="Prrafodelista"/>
        <w:rPr>
          <w:rFonts w:ascii="AvantGarde Bk BT" w:hAnsi="AvantGarde Bk BT" w:cstheme="minorBidi"/>
          <w:bCs/>
          <w:color w:val="000000" w:themeColor="text1"/>
          <w:sz w:val="22"/>
          <w:szCs w:val="22"/>
          <w:lang w:val="es-ES_tradnl" w:eastAsia="es-MX"/>
        </w:rPr>
      </w:pPr>
    </w:p>
    <w:p w:rsidR="00FB07A0" w:rsidRDefault="00FB07A0" w:rsidP="004F4A03">
      <w:pPr>
        <w:pStyle w:val="Prrafodelista"/>
        <w:rPr>
          <w:rFonts w:ascii="AvantGarde Bk BT" w:hAnsi="AvantGarde Bk BT" w:cstheme="minorBidi"/>
          <w:bCs/>
          <w:color w:val="000000" w:themeColor="text1"/>
          <w:sz w:val="22"/>
          <w:szCs w:val="22"/>
          <w:lang w:val="es-ES_tradnl" w:eastAsia="es-MX"/>
        </w:rPr>
      </w:pPr>
    </w:p>
    <w:p w:rsidR="00CE04C9" w:rsidRPr="00BF5DBA" w:rsidRDefault="00CE04C9" w:rsidP="004F4A03">
      <w:pPr>
        <w:pStyle w:val="Prrafodelista"/>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0"/>
          <w:numId w:val="2"/>
        </w:numPr>
        <w:contextualSpacing/>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 xml:space="preserve">Por lo antes señalado y con independencia de las medidas implementadas hasta el momento por la Universidad de Guadalajara para fortalecer el proceso educativo en el contexto actual, no puede dejar de reconocerse que siguen existiendo múltiples factores que condicionan la posibilidad de que los alumnos continúen de manera adecuada con su proceso educativo. Al respecto, la Coordinación General Académica y de Innovación de la Universidad de Guadalajara, realizó un estudio exploratorio a los Centros Universitarios y Sistemas de la Red Universitaria para conocer </w:t>
      </w:r>
      <w:r w:rsidRPr="00464D59">
        <w:rPr>
          <w:rFonts w:ascii="AvantGarde Bk BT" w:hAnsi="AvantGarde Bk BT" w:cstheme="minorBidi"/>
          <w:bCs/>
          <w:i/>
          <w:color w:val="000000" w:themeColor="text1"/>
          <w:sz w:val="22"/>
          <w:szCs w:val="22"/>
          <w:lang w:val="es-ES_tradnl" w:eastAsia="es-MX"/>
        </w:rPr>
        <w:t>a groso modo</w:t>
      </w:r>
      <w:r w:rsidRPr="00464D59">
        <w:rPr>
          <w:rFonts w:ascii="AvantGarde Bk BT" w:hAnsi="AvantGarde Bk BT" w:cstheme="minorBidi"/>
          <w:bCs/>
          <w:color w:val="000000" w:themeColor="text1"/>
          <w:sz w:val="22"/>
          <w:szCs w:val="22"/>
          <w:lang w:val="es-ES_tradnl" w:eastAsia="es-MX"/>
        </w:rPr>
        <w:t xml:space="preserve"> aquellas viviendas de los estudiantes que no tienen acceso a internet y el porcentaje de estudiantes que no cuentan con computadora. El estudio arrojó los siguientes datos</w:t>
      </w:r>
      <w:r w:rsidRPr="00464D59">
        <w:rPr>
          <w:color w:val="000000" w:themeColor="text1"/>
          <w:sz w:val="22"/>
          <w:szCs w:val="22"/>
          <w:vertAlign w:val="superscript"/>
          <w:lang w:val="es-ES_tradnl" w:eastAsia="es-MX"/>
        </w:rPr>
        <w:footnoteReference w:id="4"/>
      </w:r>
      <w:r w:rsidRPr="00464D59">
        <w:rPr>
          <w:rFonts w:ascii="AvantGarde Bk BT" w:hAnsi="AvantGarde Bk BT" w:cstheme="minorBidi"/>
          <w:bCs/>
          <w:color w:val="000000" w:themeColor="text1"/>
          <w:sz w:val="22"/>
          <w:szCs w:val="22"/>
          <w:lang w:val="es-ES_tradnl" w:eastAsia="es-MX"/>
        </w:rPr>
        <w:t>:</w:t>
      </w:r>
    </w:p>
    <w:p w:rsidR="004F4A03" w:rsidRPr="00464D59" w:rsidRDefault="004F4A03" w:rsidP="004F4A03">
      <w:pPr>
        <w:pStyle w:val="Prrafodelista"/>
        <w:ind w:left="720"/>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Los Centros Universitarios Regionales presentan el mayor porcentaje de viviendas sin acceso a internet, entre ellos, el Centro Universitario de la Costa Sur (</w:t>
      </w:r>
      <w:proofErr w:type="spellStart"/>
      <w:r w:rsidRPr="00464D59">
        <w:rPr>
          <w:rFonts w:ascii="AvantGarde Bk BT" w:hAnsi="AvantGarde Bk BT" w:cstheme="minorBidi"/>
          <w:bCs/>
          <w:color w:val="000000" w:themeColor="text1"/>
          <w:sz w:val="22"/>
          <w:szCs w:val="22"/>
          <w:lang w:val="es-ES_tradnl" w:eastAsia="es-MX"/>
        </w:rPr>
        <w:t>CUCSur</w:t>
      </w:r>
      <w:proofErr w:type="spellEnd"/>
      <w:r w:rsidRPr="00464D59">
        <w:rPr>
          <w:rFonts w:ascii="AvantGarde Bk BT" w:hAnsi="AvantGarde Bk BT" w:cstheme="minorBidi"/>
          <w:bCs/>
          <w:color w:val="000000" w:themeColor="text1"/>
          <w:sz w:val="22"/>
          <w:szCs w:val="22"/>
          <w:lang w:val="es-ES_tradnl" w:eastAsia="es-MX"/>
        </w:rPr>
        <w:t>) con un 42.80%, le sigue el Centro Universitario de la Ciénega (</w:t>
      </w:r>
      <w:proofErr w:type="spellStart"/>
      <w:r w:rsidRPr="00464D59">
        <w:rPr>
          <w:rFonts w:ascii="AvantGarde Bk BT" w:hAnsi="AvantGarde Bk BT" w:cstheme="minorBidi"/>
          <w:bCs/>
          <w:color w:val="000000" w:themeColor="text1"/>
          <w:sz w:val="22"/>
          <w:szCs w:val="22"/>
          <w:lang w:val="es-ES_tradnl" w:eastAsia="es-MX"/>
        </w:rPr>
        <w:t>CUCiénega</w:t>
      </w:r>
      <w:proofErr w:type="spellEnd"/>
      <w:r w:rsidRPr="00464D59">
        <w:rPr>
          <w:rFonts w:ascii="AvantGarde Bk BT" w:hAnsi="AvantGarde Bk BT" w:cstheme="minorBidi"/>
          <w:bCs/>
          <w:color w:val="000000" w:themeColor="text1"/>
          <w:sz w:val="22"/>
          <w:szCs w:val="22"/>
          <w:lang w:val="es-ES_tradnl" w:eastAsia="es-MX"/>
        </w:rPr>
        <w:t>) con un 37.70% y el Centro Universitario del Norte (</w:t>
      </w:r>
      <w:proofErr w:type="spellStart"/>
      <w:r w:rsidRPr="00464D59">
        <w:rPr>
          <w:rFonts w:ascii="AvantGarde Bk BT" w:hAnsi="AvantGarde Bk BT" w:cstheme="minorBidi"/>
          <w:bCs/>
          <w:color w:val="000000" w:themeColor="text1"/>
          <w:sz w:val="22"/>
          <w:szCs w:val="22"/>
          <w:lang w:val="es-ES_tradnl" w:eastAsia="es-MX"/>
        </w:rPr>
        <w:t>CUNorte</w:t>
      </w:r>
      <w:proofErr w:type="spellEnd"/>
      <w:r w:rsidRPr="00464D59">
        <w:rPr>
          <w:rFonts w:ascii="AvantGarde Bk BT" w:hAnsi="AvantGarde Bk BT" w:cstheme="minorBidi"/>
          <w:bCs/>
          <w:color w:val="000000" w:themeColor="text1"/>
          <w:sz w:val="22"/>
          <w:szCs w:val="22"/>
          <w:lang w:val="es-ES_tradnl" w:eastAsia="es-MX"/>
        </w:rPr>
        <w:t>) con un 31.50%.</w:t>
      </w:r>
    </w:p>
    <w:p w:rsidR="004F4A03" w:rsidRPr="00464D59" w:rsidRDefault="004F4A03" w:rsidP="004F4A03">
      <w:pPr>
        <w:pStyle w:val="Prrafodelista"/>
        <w:ind w:left="1080"/>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El Centro Universitario de Arte, Arquitectura y Diseño (CUAAD) es la entidad universitaria que presenta el menor porcentaje de viviendas de estudiantes sin acceso a internet de toda la Red Universitaria, con un 8.80%.</w:t>
      </w:r>
    </w:p>
    <w:p w:rsidR="004F4A03" w:rsidRPr="00464D59" w:rsidRDefault="004F4A03" w:rsidP="004F4A03">
      <w:pPr>
        <w:pStyle w:val="Prrafodelista"/>
        <w:ind w:left="1080"/>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Los Centros Universitarios Regionales que presentan mayor porcentaje de estudiantes que no cuentan con computadora, son: el Centro Universitario de La Ciénega (44.50%), el Centro Universitario de La Costa Sur (42.80%) y Centro Universitario de Los Lagos (32.60%). Asimismo, el Sistema de Educación Media Superior (SEMS), muestra un 42.80% de estudiantes sin computadora.</w:t>
      </w:r>
    </w:p>
    <w:p w:rsidR="004F4A03" w:rsidRPr="00464D59" w:rsidRDefault="004F4A03" w:rsidP="004F4A03">
      <w:pPr>
        <w:pStyle w:val="Prrafodelista"/>
        <w:ind w:left="1080"/>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El Sistema de Universidad Virtual (SUV) es la entidad universitaria que presenta el menor porcentaje de estudiantes que no cuentan con computadora, con un 9.70%.</w:t>
      </w:r>
    </w:p>
    <w:p w:rsidR="004F4A03" w:rsidRPr="00464D59" w:rsidRDefault="004F4A03" w:rsidP="004F4A03">
      <w:pPr>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Respecto de la modalidad en línea, algunos de los alumnos manifestaron que:</w:t>
      </w:r>
    </w:p>
    <w:p w:rsidR="004F4A03" w:rsidRPr="00464D59" w:rsidRDefault="004F4A03" w:rsidP="004F4A03">
      <w:pPr>
        <w:pStyle w:val="Prrafodelista"/>
        <w:ind w:left="1080"/>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2"/>
          <w:numId w:val="1"/>
        </w:numPr>
        <w:tabs>
          <w:tab w:val="clear" w:pos="2160"/>
          <w:tab w:val="num" w:pos="1800"/>
        </w:tabs>
        <w:ind w:left="180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Afectó su avance académico y su proceso de formación;</w:t>
      </w:r>
    </w:p>
    <w:p w:rsidR="004F4A03" w:rsidRPr="00464D59" w:rsidRDefault="004F4A03" w:rsidP="004F4A03">
      <w:pPr>
        <w:pStyle w:val="Prrafodelista"/>
        <w:numPr>
          <w:ilvl w:val="2"/>
          <w:numId w:val="1"/>
        </w:numPr>
        <w:tabs>
          <w:tab w:val="clear" w:pos="2160"/>
          <w:tab w:val="num" w:pos="1800"/>
        </w:tabs>
        <w:ind w:left="180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Les resultó más difícil de aprender;</w:t>
      </w:r>
    </w:p>
    <w:p w:rsidR="004F4A03" w:rsidRPr="00464D59" w:rsidRDefault="004F4A03" w:rsidP="004F4A03">
      <w:pPr>
        <w:pStyle w:val="Prrafodelista"/>
        <w:numPr>
          <w:ilvl w:val="2"/>
          <w:numId w:val="1"/>
        </w:numPr>
        <w:tabs>
          <w:tab w:val="clear" w:pos="2160"/>
          <w:tab w:val="num" w:pos="1800"/>
        </w:tabs>
        <w:ind w:left="180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Les generó mayor estrés;</w:t>
      </w:r>
    </w:p>
    <w:p w:rsidR="004F4A03" w:rsidRPr="00464D59" w:rsidRDefault="004F4A03" w:rsidP="004F4A03">
      <w:pPr>
        <w:pStyle w:val="Prrafodelista"/>
        <w:numPr>
          <w:ilvl w:val="2"/>
          <w:numId w:val="1"/>
        </w:numPr>
        <w:tabs>
          <w:tab w:val="clear" w:pos="2160"/>
          <w:tab w:val="num" w:pos="1800"/>
        </w:tabs>
        <w:ind w:left="180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Les demanda más tiempo que la modalidad presencial, y</w:t>
      </w:r>
    </w:p>
    <w:p w:rsidR="004F4A03" w:rsidRPr="00464D59" w:rsidRDefault="004F4A03" w:rsidP="004F4A03">
      <w:pPr>
        <w:pStyle w:val="Prrafodelista"/>
        <w:numPr>
          <w:ilvl w:val="2"/>
          <w:numId w:val="1"/>
        </w:numPr>
        <w:tabs>
          <w:tab w:val="clear" w:pos="2160"/>
          <w:tab w:val="num" w:pos="1800"/>
        </w:tabs>
        <w:ind w:left="1800"/>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Les demanda mayor esfuerzo.</w:t>
      </w:r>
    </w:p>
    <w:p w:rsidR="00FB07A0" w:rsidRDefault="00FB07A0">
      <w:pPr>
        <w:rPr>
          <w:rFonts w:ascii="AvantGarde Bk BT" w:hAnsi="AvantGarde Bk BT" w:cstheme="minorBidi"/>
          <w:bCs/>
          <w:color w:val="000000" w:themeColor="text1"/>
          <w:sz w:val="22"/>
          <w:szCs w:val="22"/>
          <w:lang w:val="es-ES_tradnl" w:eastAsia="es-MX"/>
        </w:rPr>
      </w:pPr>
      <w:r>
        <w:rPr>
          <w:rFonts w:ascii="AvantGarde Bk BT" w:hAnsi="AvantGarde Bk BT" w:cstheme="minorBidi"/>
          <w:bCs/>
          <w:color w:val="000000" w:themeColor="text1"/>
          <w:sz w:val="22"/>
          <w:szCs w:val="22"/>
          <w:lang w:val="es-ES_tradnl" w:eastAsia="es-MX"/>
        </w:rPr>
        <w:br w:type="page"/>
      </w:r>
    </w:p>
    <w:p w:rsidR="004F4A03" w:rsidRDefault="004F4A03" w:rsidP="004F4A03">
      <w:pPr>
        <w:pStyle w:val="Prrafodelista"/>
        <w:ind w:left="360"/>
        <w:jc w:val="both"/>
        <w:rPr>
          <w:rFonts w:ascii="AvantGarde Bk BT" w:hAnsi="AvantGarde Bk BT" w:cstheme="minorBidi"/>
          <w:bCs/>
          <w:color w:val="000000" w:themeColor="text1"/>
          <w:sz w:val="22"/>
          <w:szCs w:val="22"/>
          <w:lang w:val="es-ES_tradnl" w:eastAsia="es-MX"/>
        </w:rPr>
      </w:pPr>
    </w:p>
    <w:p w:rsidR="00FB07A0" w:rsidRDefault="00FB07A0" w:rsidP="004F4A03">
      <w:pPr>
        <w:pStyle w:val="Prrafodelista"/>
        <w:ind w:left="360"/>
        <w:jc w:val="both"/>
        <w:rPr>
          <w:rFonts w:ascii="AvantGarde Bk BT" w:hAnsi="AvantGarde Bk BT" w:cstheme="minorBidi"/>
          <w:bCs/>
          <w:color w:val="000000" w:themeColor="text1"/>
          <w:sz w:val="22"/>
          <w:szCs w:val="22"/>
          <w:lang w:val="es-ES_tradnl" w:eastAsia="es-MX"/>
        </w:rPr>
      </w:pPr>
    </w:p>
    <w:p w:rsidR="00FB07A0" w:rsidRDefault="00FB07A0" w:rsidP="004F4A03">
      <w:pPr>
        <w:pStyle w:val="Prrafodelista"/>
        <w:ind w:left="360"/>
        <w:jc w:val="both"/>
        <w:rPr>
          <w:rFonts w:ascii="AvantGarde Bk BT" w:hAnsi="AvantGarde Bk BT" w:cstheme="minorBidi"/>
          <w:bCs/>
          <w:color w:val="000000" w:themeColor="text1"/>
          <w:sz w:val="22"/>
          <w:szCs w:val="22"/>
          <w:lang w:val="es-ES_tradnl" w:eastAsia="es-MX"/>
        </w:rPr>
      </w:pPr>
    </w:p>
    <w:p w:rsidR="00CE04C9" w:rsidRDefault="00CE04C9" w:rsidP="004F4A03">
      <w:pPr>
        <w:pStyle w:val="Prrafodelista"/>
        <w:ind w:left="360"/>
        <w:jc w:val="both"/>
        <w:rPr>
          <w:rFonts w:ascii="AvantGarde Bk BT" w:hAnsi="AvantGarde Bk BT" w:cstheme="minorBidi"/>
          <w:bCs/>
          <w:color w:val="000000" w:themeColor="text1"/>
          <w:sz w:val="22"/>
          <w:szCs w:val="22"/>
          <w:lang w:val="es-ES_tradnl" w:eastAsia="es-MX"/>
        </w:rPr>
      </w:pPr>
      <w:bookmarkStart w:id="0" w:name="_GoBack"/>
      <w:bookmarkEnd w:id="0"/>
    </w:p>
    <w:p w:rsidR="00FB07A0" w:rsidRPr="00464D59" w:rsidRDefault="00FB07A0" w:rsidP="004F4A03">
      <w:pPr>
        <w:pStyle w:val="Prrafodelista"/>
        <w:ind w:left="360"/>
        <w:jc w:val="both"/>
        <w:rPr>
          <w:rFonts w:ascii="AvantGarde Bk BT" w:hAnsi="AvantGarde Bk BT" w:cstheme="minorBidi"/>
          <w:bCs/>
          <w:color w:val="000000" w:themeColor="text1"/>
          <w:sz w:val="22"/>
          <w:szCs w:val="22"/>
          <w:lang w:val="es-ES_tradnl" w:eastAsia="es-MX"/>
        </w:rPr>
      </w:pPr>
    </w:p>
    <w:p w:rsidR="004F4A03" w:rsidRPr="00537290" w:rsidRDefault="004F4A03" w:rsidP="004F4A03">
      <w:pPr>
        <w:pStyle w:val="Prrafodelista"/>
        <w:numPr>
          <w:ilvl w:val="1"/>
          <w:numId w:val="1"/>
        </w:numPr>
        <w:tabs>
          <w:tab w:val="clear" w:pos="1440"/>
          <w:tab w:val="num" w:pos="1080"/>
        </w:tabs>
        <w:ind w:left="1080"/>
        <w:jc w:val="both"/>
        <w:rPr>
          <w:rFonts w:ascii="AvantGarde Bk BT" w:hAnsi="AvantGarde Bk BT" w:cstheme="minorBidi"/>
          <w:bCs/>
          <w:color w:val="000000" w:themeColor="text1"/>
          <w:sz w:val="22"/>
          <w:szCs w:val="22"/>
          <w:lang w:val="es-ES_tradnl" w:eastAsia="es-MX"/>
        </w:rPr>
      </w:pPr>
      <w:r w:rsidRPr="00537290">
        <w:rPr>
          <w:rFonts w:ascii="AvantGarde Bk BT" w:hAnsi="AvantGarde Bk BT" w:cstheme="minorBidi"/>
          <w:bCs/>
          <w:color w:val="000000" w:themeColor="text1"/>
          <w:sz w:val="22"/>
          <w:szCs w:val="22"/>
          <w:lang w:val="es-ES_tradnl" w:eastAsia="es-MX"/>
        </w:rPr>
        <w:t xml:space="preserve">De acuerdo con el </w:t>
      </w:r>
      <w:hyperlink r:id="rId7" w:tgtFrame="_blank" w:history="1">
        <w:r w:rsidRPr="00537290">
          <w:rPr>
            <w:rFonts w:ascii="AvantGarde Bk BT" w:hAnsi="AvantGarde Bk BT" w:cstheme="minorBidi"/>
            <w:bCs/>
            <w:color w:val="000000" w:themeColor="text1"/>
            <w:sz w:val="22"/>
            <w:szCs w:val="22"/>
            <w:lang w:val="es-ES_tradnl" w:eastAsia="es-MX"/>
          </w:rPr>
          <w:t>Sistema de Educación Media Superior</w:t>
        </w:r>
      </w:hyperlink>
      <w:r w:rsidRPr="00537290">
        <w:rPr>
          <w:rFonts w:ascii="AvantGarde Bk BT" w:hAnsi="AvantGarde Bk BT" w:cstheme="minorBidi"/>
          <w:bCs/>
          <w:color w:val="000000" w:themeColor="text1"/>
          <w:sz w:val="22"/>
          <w:szCs w:val="22"/>
          <w:lang w:val="es-ES_tradnl" w:eastAsia="es-MX"/>
        </w:rPr>
        <w:t xml:space="preserve"> (SEMS), durante el ciclo 2020-B se alcanzó un </w:t>
      </w:r>
      <w:r w:rsidRPr="00537290">
        <w:rPr>
          <w:rFonts w:ascii="AvantGarde Bk BT" w:hAnsi="AvantGarde Bk BT" w:cstheme="minorBidi"/>
          <w:color w:val="000000" w:themeColor="text1"/>
          <w:sz w:val="22"/>
          <w:szCs w:val="22"/>
          <w:lang w:val="es-ES_tradnl" w:eastAsia="es-MX"/>
        </w:rPr>
        <w:t>23 por ciento de reprobación de estudiantes</w:t>
      </w:r>
      <w:r w:rsidRPr="00537290">
        <w:rPr>
          <w:rFonts w:ascii="AvantGarde Bk BT" w:hAnsi="AvantGarde Bk BT" w:cstheme="minorBidi"/>
          <w:bCs/>
          <w:color w:val="000000" w:themeColor="text1"/>
          <w:sz w:val="22"/>
          <w:szCs w:val="22"/>
          <w:lang w:val="es-ES_tradnl" w:eastAsia="es-MX"/>
        </w:rPr>
        <w:t xml:space="preserve"> por distintas causas. Entre ellas: falta de recursos, necesidad de trabajar, por falta de equipo y/o conexión a Internet </w:t>
      </w:r>
      <w:r w:rsidRPr="00537290">
        <w:rPr>
          <w:rStyle w:val="Refdenotaalpie"/>
          <w:rFonts w:ascii="AvantGarde Bk BT" w:hAnsi="AvantGarde Bk BT" w:cstheme="minorBidi"/>
          <w:bCs/>
          <w:color w:val="000000" w:themeColor="text1"/>
          <w:sz w:val="22"/>
          <w:szCs w:val="22"/>
          <w:lang w:val="es-ES_tradnl" w:eastAsia="es-MX"/>
        </w:rPr>
        <w:footnoteReference w:id="5"/>
      </w:r>
      <w:r w:rsidRPr="00537290">
        <w:rPr>
          <w:rFonts w:ascii="AvantGarde Bk BT" w:hAnsi="AvantGarde Bk BT" w:cstheme="minorBidi"/>
          <w:bCs/>
          <w:color w:val="000000" w:themeColor="text1"/>
          <w:sz w:val="22"/>
          <w:szCs w:val="22"/>
          <w:lang w:val="es-ES_tradnl" w:eastAsia="es-MX"/>
        </w:rPr>
        <w:t>.</w:t>
      </w:r>
    </w:p>
    <w:p w:rsidR="004F4A03" w:rsidRDefault="004F4A03" w:rsidP="004F4A03">
      <w:pPr>
        <w:pStyle w:val="Prrafodelista"/>
        <w:ind w:left="720"/>
        <w:contextualSpacing/>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pStyle w:val="Prrafodelista"/>
        <w:numPr>
          <w:ilvl w:val="0"/>
          <w:numId w:val="2"/>
        </w:numPr>
        <w:tabs>
          <w:tab w:val="num" w:pos="360"/>
        </w:tabs>
        <w:contextualSpacing/>
        <w:jc w:val="both"/>
        <w:rPr>
          <w:rFonts w:ascii="AvantGarde Bk BT" w:hAnsi="AvantGarde Bk BT" w:cstheme="minorBidi"/>
          <w:bCs/>
          <w:color w:val="000000" w:themeColor="text1"/>
          <w:sz w:val="22"/>
          <w:szCs w:val="22"/>
          <w:lang w:val="es-ES_tradnl" w:eastAsia="es-MX"/>
        </w:rPr>
      </w:pPr>
      <w:r w:rsidRPr="00464D59">
        <w:rPr>
          <w:rFonts w:ascii="AvantGarde Bk BT" w:hAnsi="AvantGarde Bk BT" w:cstheme="minorBidi"/>
          <w:bCs/>
          <w:color w:val="000000" w:themeColor="text1"/>
          <w:sz w:val="22"/>
          <w:szCs w:val="22"/>
          <w:lang w:val="es-ES_tradnl" w:eastAsia="es-MX"/>
        </w:rPr>
        <w:t>En este contexto, la Corte Interamericana de Derechos Humanos a través de la resolución No. 4/2020 “Derechos Humanos de las Personas con COVID-19”, adoptada por la Corte el 27 de julio de 2020, establece en las Directrices sobre la protección de otros DESCA de las personas con COVID-19, en el ámbito del derecho a la educación, lo siguiente:</w:t>
      </w:r>
    </w:p>
    <w:p w:rsidR="004F4A03" w:rsidRPr="00464D59" w:rsidRDefault="004F4A03" w:rsidP="004F4A03">
      <w:pPr>
        <w:ind w:left="708"/>
        <w:jc w:val="both"/>
        <w:rPr>
          <w:rFonts w:ascii="AvantGarde Bk BT" w:hAnsi="AvantGarde Bk BT" w:cstheme="minorBidi"/>
          <w:bCs/>
          <w:color w:val="000000" w:themeColor="text1"/>
          <w:sz w:val="22"/>
          <w:szCs w:val="22"/>
          <w:lang w:val="es-ES_tradnl" w:eastAsia="es-MX"/>
        </w:rPr>
      </w:pPr>
    </w:p>
    <w:p w:rsidR="004F4A03" w:rsidRPr="00464D59" w:rsidRDefault="004F4A03" w:rsidP="004F4A03">
      <w:pPr>
        <w:ind w:left="1416"/>
        <w:jc w:val="both"/>
        <w:rPr>
          <w:rFonts w:ascii="AvantGarde Bk BT" w:hAnsi="AvantGarde Bk BT" w:cstheme="minorBidi"/>
          <w:bCs/>
          <w:i/>
          <w:color w:val="000000" w:themeColor="text1"/>
          <w:sz w:val="22"/>
          <w:szCs w:val="22"/>
          <w:lang w:val="es-ES_tradnl" w:eastAsia="es-MX"/>
        </w:rPr>
      </w:pPr>
      <w:r w:rsidRPr="00464D59">
        <w:rPr>
          <w:rFonts w:ascii="AvantGarde Bk BT" w:hAnsi="AvantGarde Bk BT" w:cstheme="minorBidi"/>
          <w:bCs/>
          <w:i/>
          <w:color w:val="000000" w:themeColor="text1"/>
          <w:sz w:val="22"/>
          <w:szCs w:val="22"/>
          <w:lang w:val="es-ES_tradnl" w:eastAsia="es-MX"/>
        </w:rPr>
        <w:t>44. Para el goce pleno del derecho a la educación de las personas con COVID-19, bien por sufrir la enfermedad directamente o en el núcleo de sus familias, los Estados deben prever dentro de los diferentes niveles de sus sistemas educativos, la implementación de medidas que mitiguen la posible interrupción de los estudios y se enfoquen en la reducción del abandono de los mismos. Así como atenuar otras consecuencias derivadas directamente de la pandemia, tomando especialmente en consideración el papel de la escuela en los entornos más vulnerables, como proveedora de higiene, salud o alimentos.</w:t>
      </w:r>
    </w:p>
    <w:p w:rsidR="004F4A03" w:rsidRPr="00464D59" w:rsidRDefault="004F4A03" w:rsidP="004F4A03">
      <w:pPr>
        <w:ind w:left="708"/>
        <w:jc w:val="both"/>
        <w:rPr>
          <w:rFonts w:ascii="AvantGarde Bk BT" w:hAnsi="AvantGarde Bk BT" w:cstheme="minorBidi"/>
          <w:bCs/>
          <w:i/>
          <w:color w:val="000000" w:themeColor="text1"/>
          <w:sz w:val="22"/>
          <w:szCs w:val="22"/>
          <w:lang w:val="es-ES_tradnl" w:eastAsia="es-MX"/>
        </w:rPr>
      </w:pPr>
    </w:p>
    <w:p w:rsidR="004F4A03" w:rsidRPr="00464D59" w:rsidRDefault="004F4A03" w:rsidP="004F4A03">
      <w:pPr>
        <w:pStyle w:val="Prrafodelista"/>
        <w:numPr>
          <w:ilvl w:val="0"/>
          <w:numId w:val="2"/>
        </w:numPr>
        <w:jc w:val="both"/>
        <w:rPr>
          <w:rFonts w:ascii="AvantGarde Bk BT" w:hAnsi="AvantGarde Bk BT" w:cs="Arial"/>
          <w:color w:val="000000" w:themeColor="text1"/>
          <w:sz w:val="22"/>
          <w:szCs w:val="22"/>
        </w:rPr>
      </w:pPr>
      <w:r w:rsidRPr="00464D59">
        <w:rPr>
          <w:rFonts w:ascii="AvantGarde Bk BT" w:hAnsi="AvantGarde Bk BT" w:cstheme="minorBidi"/>
          <w:bCs/>
          <w:color w:val="000000" w:themeColor="text1"/>
          <w:sz w:val="22"/>
          <w:szCs w:val="22"/>
          <w:lang w:val="es-ES_tradnl" w:eastAsia="es-MX"/>
        </w:rPr>
        <w:t>Derivado de lo antes expuesto, y a efecto de conseguir que los alumnos continúen con sus estudios, se considera conveniente que para el ciclo escolar 2020-B, no sea aplicable el artículo 35 del Reglamento General de Evaluación y Promoción de Alumnos de la Universidad de Guadalajara, para que no pierdan el derecho a la educación por cuestiones que van más allá de la falta de disciplina o la voluntad de aprender.</w:t>
      </w:r>
    </w:p>
    <w:p w:rsidR="004F4A03" w:rsidRPr="00464D59" w:rsidRDefault="004F4A03" w:rsidP="004F4A03">
      <w:pPr>
        <w:jc w:val="both"/>
        <w:rPr>
          <w:rFonts w:ascii="AvantGarde Bk BT" w:hAnsi="AvantGarde Bk BT" w:cs="Arial"/>
          <w:color w:val="000000" w:themeColor="text1"/>
          <w:sz w:val="22"/>
          <w:szCs w:val="22"/>
        </w:rPr>
      </w:pPr>
    </w:p>
    <w:p w:rsidR="004F4A03" w:rsidRPr="00464D59" w:rsidRDefault="004F4A03" w:rsidP="004F4A03">
      <w:p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s="Arial"/>
          <w:color w:val="000000" w:themeColor="text1"/>
          <w:sz w:val="22"/>
          <w:szCs w:val="22"/>
        </w:rPr>
        <w:t>Lo anterior conforme a los siguientes:</w:t>
      </w:r>
    </w:p>
    <w:p w:rsidR="004F4A03" w:rsidRPr="00464D59" w:rsidRDefault="004F4A03" w:rsidP="004F4A03">
      <w:pPr>
        <w:contextualSpacing/>
        <w:rPr>
          <w:rFonts w:ascii="AvantGarde Bk BT" w:hAnsi="AvantGarde Bk BT"/>
          <w:color w:val="000000" w:themeColor="text1"/>
          <w:sz w:val="22"/>
          <w:szCs w:val="22"/>
          <w:lang w:val="es-ES_tradnl"/>
        </w:rPr>
      </w:pPr>
    </w:p>
    <w:p w:rsidR="00FB07A0" w:rsidRDefault="00FB07A0">
      <w:pPr>
        <w:rPr>
          <w:rFonts w:ascii="AvantGarde Bk BT" w:hAnsi="AvantGarde Bk BT"/>
          <w:b/>
          <w:color w:val="000000" w:themeColor="text1"/>
          <w:sz w:val="22"/>
          <w:szCs w:val="22"/>
          <w:lang w:val="es-ES_tradnl"/>
        </w:rPr>
      </w:pPr>
      <w:r>
        <w:rPr>
          <w:rFonts w:ascii="AvantGarde Bk BT" w:hAnsi="AvantGarde Bk BT"/>
          <w:b/>
          <w:color w:val="000000" w:themeColor="text1"/>
          <w:sz w:val="22"/>
          <w:szCs w:val="22"/>
          <w:lang w:val="es-ES_tradnl"/>
        </w:rPr>
        <w:br w:type="page"/>
      </w:r>
    </w:p>
    <w:p w:rsidR="004F4A03" w:rsidRPr="00464D59" w:rsidRDefault="004F4A03" w:rsidP="004F4A03">
      <w:pPr>
        <w:contextualSpacing/>
        <w:jc w:val="center"/>
        <w:rPr>
          <w:rFonts w:ascii="AvantGarde Bk BT" w:hAnsi="AvantGarde Bk BT"/>
          <w:b/>
          <w:color w:val="000000" w:themeColor="text1"/>
          <w:sz w:val="22"/>
          <w:szCs w:val="22"/>
          <w:lang w:val="es-ES_tradnl"/>
        </w:rPr>
      </w:pPr>
      <w:r w:rsidRPr="00464D59">
        <w:rPr>
          <w:rFonts w:ascii="AvantGarde Bk BT" w:hAnsi="AvantGarde Bk BT"/>
          <w:b/>
          <w:color w:val="000000" w:themeColor="text1"/>
          <w:sz w:val="22"/>
          <w:szCs w:val="22"/>
          <w:lang w:val="es-ES_tradnl"/>
        </w:rPr>
        <w:lastRenderedPageBreak/>
        <w:t>FUNDAMENTOS JURÍDICOS</w:t>
      </w:r>
    </w:p>
    <w:p w:rsidR="004F4A03" w:rsidRPr="00464D59" w:rsidRDefault="004F4A03" w:rsidP="004F4A03">
      <w:pPr>
        <w:contextualSpacing/>
        <w:rPr>
          <w:rFonts w:ascii="AvantGarde Bk BT" w:hAnsi="AvantGarde Bk BT"/>
          <w:color w:val="000000" w:themeColor="text1"/>
          <w:sz w:val="22"/>
          <w:szCs w:val="22"/>
          <w:lang w:val="es-ES_tradnl"/>
        </w:rPr>
      </w:pPr>
    </w:p>
    <w:p w:rsidR="004F4A03" w:rsidRPr="00464D59" w:rsidRDefault="004F4A03" w:rsidP="004F4A03">
      <w:pPr>
        <w:numPr>
          <w:ilvl w:val="0"/>
          <w:numId w:val="3"/>
        </w:num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la Universidad de Guadalajara es un organismo público descentralizado del Gobierno del Estado de Jalisco, con autonomía, personalidad jurídica y patrimonio propios, de conformidad con lo dispuesto en el artículo 1 de su Ley Orgánica, publicada por el Ejecutivo local el día 15 de enero de 1994, en ejecución del Decreto No. 15319 del Congreso del Estado de Jalisco.</w:t>
      </w:r>
    </w:p>
    <w:p w:rsidR="00FB07A0" w:rsidRPr="00464D59" w:rsidRDefault="00FB07A0" w:rsidP="004F4A03">
      <w:pPr>
        <w:ind w:left="708"/>
        <w:contextualSpacing/>
        <w:jc w:val="both"/>
        <w:rPr>
          <w:rFonts w:ascii="AvantGarde Bk BT" w:hAnsi="AvantGarde Bk BT"/>
          <w:color w:val="000000" w:themeColor="text1"/>
          <w:sz w:val="22"/>
          <w:szCs w:val="22"/>
          <w:lang w:val="es-ES_tradnl" w:eastAsia="es-MX"/>
        </w:rPr>
      </w:pPr>
    </w:p>
    <w:p w:rsidR="004F4A03" w:rsidRPr="00464D59" w:rsidRDefault="004F4A03" w:rsidP="004F4A03">
      <w:pPr>
        <w:numPr>
          <w:ilvl w:val="0"/>
          <w:numId w:val="3"/>
        </w:num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la Universidad de Guadalajara ha adoptado el modelo de red para organizar sus actividades académicas y administrativas, la cual se integrará por los Centros Universitarios, el Sistema de Educación Media Superior y la Administración General de la Universidad, de acuerdo con lo dispuesto en los artículos 22 y 23 de la Ley Orgánica de la Universidad de Guadalajara.</w:t>
      </w:r>
    </w:p>
    <w:p w:rsidR="004F4A03" w:rsidRPr="00464D59"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464D59" w:rsidRDefault="004F4A03" w:rsidP="004F4A03">
      <w:pPr>
        <w:numPr>
          <w:ilvl w:val="0"/>
          <w:numId w:val="3"/>
        </w:num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el H. Consejo General Universitario funciona en pleno o por comisiones, las que pueden ser permanentes o especiales, como lo señala el artículo 27 de la Ley Orgánica de la Universidad de Guadalajara.</w:t>
      </w:r>
    </w:p>
    <w:p w:rsidR="004F4A03" w:rsidRPr="00464D59" w:rsidRDefault="004F4A03" w:rsidP="004F4A03">
      <w:pPr>
        <w:pStyle w:val="Prrafodelista"/>
        <w:rPr>
          <w:rFonts w:ascii="AvantGarde Bk BT" w:hAnsi="AvantGarde Bk BT"/>
          <w:color w:val="000000" w:themeColor="text1"/>
          <w:sz w:val="22"/>
          <w:szCs w:val="22"/>
          <w:lang w:val="es-ES_tradnl" w:eastAsia="es-MX"/>
        </w:rPr>
      </w:pPr>
    </w:p>
    <w:p w:rsidR="004F4A03" w:rsidRPr="00464D59" w:rsidRDefault="004F4A03" w:rsidP="004F4A03">
      <w:pPr>
        <w:pStyle w:val="Prrafodelista"/>
        <w:numPr>
          <w:ilvl w:val="0"/>
          <w:numId w:val="3"/>
        </w:numPr>
        <w:ind w:right="-2"/>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 xml:space="preserve">Que es atribución del H. Consejo General Universitario fijar los criterios generales para la planeación y organización de programas de educación continua, </w:t>
      </w:r>
      <w:proofErr w:type="spellStart"/>
      <w:r w:rsidRPr="00464D59">
        <w:rPr>
          <w:rFonts w:ascii="AvantGarde Bk BT" w:hAnsi="AvantGarde Bk BT"/>
          <w:color w:val="000000" w:themeColor="text1"/>
          <w:sz w:val="22"/>
          <w:szCs w:val="22"/>
          <w:lang w:val="es-ES_tradnl" w:eastAsia="es-MX"/>
        </w:rPr>
        <w:t>semiescolarizada</w:t>
      </w:r>
      <w:proofErr w:type="spellEnd"/>
      <w:r w:rsidRPr="00464D59">
        <w:rPr>
          <w:rFonts w:ascii="AvantGarde Bk BT" w:hAnsi="AvantGarde Bk BT"/>
          <w:color w:val="000000" w:themeColor="text1"/>
          <w:sz w:val="22"/>
          <w:szCs w:val="22"/>
          <w:lang w:val="es-ES_tradnl" w:eastAsia="es-MX"/>
        </w:rPr>
        <w:t>, abierta y a distancia que la Universidad atienda por sí, o en coordinación con entidades externas, según se señala en el artículo 39, fracción II, del Estatuto General de esta Casa de Estudio.</w:t>
      </w:r>
    </w:p>
    <w:p w:rsidR="004F4A03" w:rsidRPr="00464D59"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464D59" w:rsidRDefault="004F4A03" w:rsidP="004F4A03">
      <w:pPr>
        <w:numPr>
          <w:ilvl w:val="0"/>
          <w:numId w:val="3"/>
        </w:num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es atribución de la Comisión Permanente de Educación, proponer las medidas necesarias para el mejoramiento de los sistemas educativos, los criterios e innovaciones pedagógicas, la administración académica, así como las reformas de las que estén en vigor, además de conocer y dictaminar acerca de las propuestas de los consejeros, el Rector General, o de los titulares de los Centros, Divisiones y Escuelas, conforme a las fracciones I y IV del artículo 85 del Estatuto General de la Universidad de Guadalajara.</w:t>
      </w:r>
    </w:p>
    <w:p w:rsidR="00FB07A0" w:rsidRDefault="00FB07A0">
      <w:pPr>
        <w:rPr>
          <w:rFonts w:ascii="AvantGarde Bk BT" w:hAnsi="AvantGarde Bk BT"/>
          <w:color w:val="000000" w:themeColor="text1"/>
          <w:sz w:val="22"/>
          <w:szCs w:val="22"/>
          <w:lang w:val="es-ES_tradnl" w:eastAsia="es-MX"/>
        </w:rPr>
      </w:pPr>
      <w:r>
        <w:rPr>
          <w:rFonts w:ascii="AvantGarde Bk BT" w:hAnsi="AvantGarde Bk BT"/>
          <w:color w:val="000000" w:themeColor="text1"/>
          <w:sz w:val="22"/>
          <w:szCs w:val="22"/>
          <w:lang w:val="es-ES_tradnl" w:eastAsia="es-MX"/>
        </w:rPr>
        <w:br w:type="page"/>
      </w:r>
    </w:p>
    <w:p w:rsidR="004F4A03" w:rsidRPr="00464D59"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464D59" w:rsidRDefault="004F4A03" w:rsidP="004F4A03">
      <w:pPr>
        <w:numPr>
          <w:ilvl w:val="0"/>
          <w:numId w:val="3"/>
        </w:num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son atribuciones de la Comisión Permanente de Normatividad,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de conformidad con lo establecido en las fracciones I y II del artículo 88 del Estatuto General de la Universidad de Guadalajara.</w:t>
      </w:r>
    </w:p>
    <w:p w:rsidR="004F4A03" w:rsidRPr="00464D59" w:rsidRDefault="004F4A03" w:rsidP="004F4A03">
      <w:pPr>
        <w:ind w:left="708"/>
        <w:contextualSpacing/>
        <w:jc w:val="both"/>
        <w:rPr>
          <w:rFonts w:ascii="AvantGarde Bk BT" w:hAnsi="AvantGarde Bk BT"/>
          <w:color w:val="000000" w:themeColor="text1"/>
          <w:sz w:val="22"/>
          <w:szCs w:val="22"/>
          <w:lang w:val="es-ES_tradnl" w:eastAsia="es-MX"/>
        </w:rPr>
      </w:pPr>
    </w:p>
    <w:p w:rsidR="004F4A03" w:rsidRPr="00464D59" w:rsidRDefault="004F4A03" w:rsidP="004F4A03">
      <w:pPr>
        <w:pStyle w:val="Prrafodelista"/>
        <w:numPr>
          <w:ilvl w:val="0"/>
          <w:numId w:val="3"/>
        </w:numPr>
        <w:ind w:right="-2"/>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Que el Rector General tiene, entre otras, las atribuciones de promover todo lo que contribuya al mejoramiento académico, administrativo y patrimonial de la Universidad; promover el desarrollo de las funciones sustantivas de la Universidad; así como proponer al H. Consejo General Universitario, políticas y estrategias para el cumplimiento y desarrollo de las funciones sustantivas de la Universidad, lo anterior conforme se dispone en la fracción X del artículo 35 de la Ley Orgánica, así como las fracciones I y XIII del artículo 95 del Estatuto General, ambos ordenamientos de la Universidad de Guadalajara.</w:t>
      </w:r>
    </w:p>
    <w:p w:rsidR="004F4A03" w:rsidRPr="00464D59" w:rsidRDefault="004F4A03" w:rsidP="004F4A03">
      <w:pPr>
        <w:pStyle w:val="Listavistosa-nfasis11"/>
        <w:ind w:left="0"/>
        <w:rPr>
          <w:rFonts w:ascii="AvantGarde Bk BT" w:hAnsi="AvantGarde Bk BT"/>
          <w:color w:val="000000" w:themeColor="text1"/>
          <w:sz w:val="22"/>
          <w:szCs w:val="22"/>
          <w:lang w:val="es-ES_tradnl" w:eastAsia="es-MX"/>
        </w:rPr>
      </w:pPr>
    </w:p>
    <w:p w:rsidR="004F4A03" w:rsidRPr="00464D59" w:rsidRDefault="004F4A03" w:rsidP="004F4A03">
      <w:pPr>
        <w:contextualSpacing/>
        <w:jc w:val="both"/>
        <w:rPr>
          <w:rFonts w:ascii="AvantGarde Bk BT" w:hAnsi="AvantGarde Bk BT"/>
          <w:color w:val="000000" w:themeColor="text1"/>
          <w:sz w:val="22"/>
          <w:szCs w:val="22"/>
          <w:lang w:val="es-ES_tradnl" w:eastAsia="es-MX"/>
        </w:rPr>
      </w:pPr>
      <w:r w:rsidRPr="00464D59">
        <w:rPr>
          <w:rFonts w:ascii="AvantGarde Bk BT" w:hAnsi="AvantGarde Bk BT"/>
          <w:color w:val="000000" w:themeColor="text1"/>
          <w:sz w:val="22"/>
          <w:szCs w:val="22"/>
          <w:lang w:val="es-ES_tradnl" w:eastAsia="es-MX"/>
        </w:rPr>
        <w:t xml:space="preserve">Estas Comisiones Permanentes de </w:t>
      </w:r>
      <w:r w:rsidRPr="00464D59">
        <w:rPr>
          <w:rFonts w:ascii="AvantGarde Bk BT" w:hAnsi="AvantGarde Bk BT"/>
          <w:color w:val="000000" w:themeColor="text1"/>
          <w:sz w:val="22"/>
          <w:szCs w:val="22"/>
          <w:lang w:val="es-ES_tradnl"/>
        </w:rPr>
        <w:t>Educación y de Normatividad</w:t>
      </w:r>
      <w:r w:rsidRPr="00464D59">
        <w:rPr>
          <w:rFonts w:ascii="AvantGarde Bk BT" w:hAnsi="AvantGarde Bk BT"/>
          <w:color w:val="000000" w:themeColor="text1"/>
          <w:sz w:val="22"/>
          <w:szCs w:val="22"/>
          <w:lang w:val="es-ES_tradnl" w:eastAsia="es-MX"/>
        </w:rPr>
        <w:t>, proponen al pleno del H. Consejo General Universitario, se resuelva conforme los siguientes:</w:t>
      </w:r>
    </w:p>
    <w:p w:rsidR="004F4A03" w:rsidRPr="00464D59" w:rsidRDefault="004F4A03" w:rsidP="004F4A03">
      <w:pPr>
        <w:keepNext/>
        <w:keepLines/>
        <w:spacing w:before="200"/>
        <w:jc w:val="center"/>
        <w:outlineLvl w:val="7"/>
        <w:rPr>
          <w:rFonts w:ascii="AvantGarde Bk BT" w:hAnsi="AvantGarde Bk BT" w:cs="Arial"/>
          <w:b/>
          <w:color w:val="000000" w:themeColor="text1"/>
          <w:sz w:val="22"/>
          <w:szCs w:val="22"/>
          <w:lang w:val="pt-BR"/>
        </w:rPr>
      </w:pPr>
      <w:r w:rsidRPr="00464D59">
        <w:rPr>
          <w:rFonts w:ascii="AvantGarde Bk BT" w:hAnsi="AvantGarde Bk BT"/>
          <w:b/>
          <w:color w:val="000000" w:themeColor="text1"/>
          <w:sz w:val="22"/>
          <w:szCs w:val="22"/>
          <w:lang w:val="es-ES_tradnl"/>
        </w:rPr>
        <w:t>RESOLUTIVOS</w:t>
      </w:r>
    </w:p>
    <w:p w:rsidR="004F4A03" w:rsidRPr="00D80170" w:rsidRDefault="004F4A03" w:rsidP="004F4A03">
      <w:pPr>
        <w:rPr>
          <w:rFonts w:ascii="AvantGarde Bk BT" w:hAnsi="AvantGarde Bk BT" w:cs="Arial"/>
          <w:color w:val="000000" w:themeColor="text1"/>
          <w:sz w:val="22"/>
          <w:szCs w:val="22"/>
          <w:lang w:val="pt-BR"/>
        </w:rPr>
      </w:pPr>
    </w:p>
    <w:p w:rsidR="004F4A03" w:rsidRPr="00464D59" w:rsidRDefault="004F4A03" w:rsidP="004F4A03">
      <w:pPr>
        <w:autoSpaceDE w:val="0"/>
        <w:autoSpaceDN w:val="0"/>
        <w:adjustRightInd w:val="0"/>
        <w:ind w:right="-91"/>
        <w:jc w:val="both"/>
        <w:rPr>
          <w:rFonts w:ascii="AvantGarde Bk BT" w:hAnsi="AvantGarde Bk BT" w:cs="Arial"/>
          <w:color w:val="000000" w:themeColor="text1"/>
          <w:sz w:val="22"/>
          <w:szCs w:val="22"/>
          <w:lang w:val="es-ES"/>
        </w:rPr>
      </w:pPr>
      <w:r w:rsidRPr="00D80170">
        <w:rPr>
          <w:rFonts w:ascii="AvantGarde Bk BT" w:hAnsi="AvantGarde Bk BT" w:cs="Arial"/>
          <w:b/>
          <w:color w:val="000000" w:themeColor="text1"/>
          <w:sz w:val="22"/>
          <w:szCs w:val="22"/>
          <w:lang w:val="es-ES"/>
        </w:rPr>
        <w:t xml:space="preserve">PRIMERO. </w:t>
      </w:r>
      <w:r w:rsidRPr="00D80170">
        <w:rPr>
          <w:rFonts w:ascii="AvantGarde Bk BT" w:hAnsi="AvantGarde Bk BT" w:cs="Arial"/>
          <w:color w:val="000000" w:themeColor="text1"/>
          <w:sz w:val="22"/>
          <w:szCs w:val="22"/>
          <w:lang w:val="es-ES"/>
        </w:rPr>
        <w:t xml:space="preserve">En el ciclo escolar 2021 “A”, los alumnos que se sitúen en el supuesto establecido en el artículo 35 del Reglamento General de Evaluación y Promoción </w:t>
      </w:r>
      <w:r w:rsidRPr="00944244">
        <w:rPr>
          <w:rFonts w:ascii="AvantGarde Bk BT" w:hAnsi="AvantGarde Bk BT" w:cs="Arial"/>
          <w:sz w:val="22"/>
          <w:szCs w:val="22"/>
          <w:lang w:val="es-ES"/>
        </w:rPr>
        <w:t>de Alumnos de la Universidad de Guadalajara</w:t>
      </w:r>
      <w:r>
        <w:rPr>
          <w:rFonts w:ascii="AvantGarde Bk BT" w:hAnsi="AvantGarde Bk BT" w:cs="Arial"/>
          <w:sz w:val="22"/>
          <w:szCs w:val="22"/>
          <w:lang w:val="es-ES"/>
        </w:rPr>
        <w:t>,</w:t>
      </w:r>
      <w:r w:rsidRPr="00944244">
        <w:rPr>
          <w:rFonts w:ascii="AvantGarde Bk BT" w:hAnsi="AvantGarde Bk BT" w:cs="Arial"/>
          <w:sz w:val="22"/>
          <w:szCs w:val="22"/>
          <w:lang w:val="es-ES"/>
        </w:rPr>
        <w:t xml:space="preserve"> </w:t>
      </w:r>
      <w:r w:rsidRPr="00464D59">
        <w:rPr>
          <w:rFonts w:ascii="AvantGarde Bk BT" w:hAnsi="AvantGarde Bk BT" w:cs="Arial"/>
          <w:color w:val="000000" w:themeColor="text1"/>
          <w:sz w:val="22"/>
          <w:szCs w:val="22"/>
          <w:lang w:val="es-ES"/>
        </w:rPr>
        <w:t xml:space="preserve">no serán dados de baja, por lo que tendrán la posibilidad de acreditar la o las unidades de aprendizaje, en un próximo ciclo escolar.  </w:t>
      </w:r>
    </w:p>
    <w:p w:rsidR="004F4A03" w:rsidRDefault="004F4A03" w:rsidP="004F4A03">
      <w:pPr>
        <w:autoSpaceDE w:val="0"/>
        <w:autoSpaceDN w:val="0"/>
        <w:adjustRightInd w:val="0"/>
        <w:ind w:right="-91"/>
        <w:jc w:val="both"/>
        <w:rPr>
          <w:rFonts w:ascii="AvantGarde Bk BT" w:hAnsi="AvantGarde Bk BT" w:cs="Arial"/>
          <w:color w:val="000000" w:themeColor="text1"/>
          <w:sz w:val="22"/>
          <w:szCs w:val="22"/>
          <w:lang w:val="es-ES"/>
        </w:rPr>
      </w:pPr>
    </w:p>
    <w:p w:rsidR="004F4A03" w:rsidRPr="00464D59" w:rsidRDefault="004F4A03" w:rsidP="004F4A03">
      <w:pPr>
        <w:autoSpaceDE w:val="0"/>
        <w:autoSpaceDN w:val="0"/>
        <w:adjustRightInd w:val="0"/>
        <w:ind w:right="-91"/>
        <w:jc w:val="both"/>
        <w:rPr>
          <w:rFonts w:ascii="AvantGarde Bk BT" w:hAnsi="AvantGarde Bk BT" w:cs="Arial"/>
          <w:color w:val="000000" w:themeColor="text1"/>
          <w:sz w:val="22"/>
          <w:szCs w:val="22"/>
          <w:lang w:val="es-ES"/>
        </w:rPr>
      </w:pPr>
      <w:r w:rsidRPr="00464D59">
        <w:rPr>
          <w:rFonts w:ascii="AvantGarde Bk BT" w:hAnsi="AvantGarde Bk BT" w:cs="Arial"/>
          <w:b/>
          <w:bCs/>
          <w:color w:val="000000" w:themeColor="text1"/>
          <w:sz w:val="22"/>
          <w:szCs w:val="22"/>
          <w:lang w:val="es-ES"/>
        </w:rPr>
        <w:t>SEGUNDO.</w:t>
      </w:r>
      <w:r w:rsidRPr="00464D59">
        <w:rPr>
          <w:rFonts w:ascii="AvantGarde Bk BT" w:hAnsi="AvantGarde Bk BT" w:cs="Arial"/>
          <w:color w:val="000000" w:themeColor="text1"/>
          <w:sz w:val="22"/>
          <w:szCs w:val="22"/>
          <w:lang w:val="es-ES"/>
        </w:rPr>
        <w:t xml:space="preserve"> Las instituciones educativas particulares que cuenten con el Reconocimiento de Validez Oficial de Estudios de la Universidad de Guadalajara, y que imparten programas de nivel medio superior y superior, se sujetarán a lo establecido en el resolutivo anterior.</w:t>
      </w:r>
    </w:p>
    <w:p w:rsidR="004F4A03" w:rsidRPr="00464D59" w:rsidRDefault="004F4A03" w:rsidP="004F4A03">
      <w:pPr>
        <w:autoSpaceDE w:val="0"/>
        <w:autoSpaceDN w:val="0"/>
        <w:adjustRightInd w:val="0"/>
        <w:ind w:right="-91"/>
        <w:jc w:val="both"/>
        <w:rPr>
          <w:rFonts w:ascii="AvantGarde Bk BT" w:hAnsi="AvantGarde Bk BT" w:cs="Arial"/>
          <w:i/>
          <w:color w:val="000000" w:themeColor="text1"/>
          <w:sz w:val="22"/>
          <w:szCs w:val="22"/>
          <w:lang w:val="es-ES"/>
        </w:rPr>
      </w:pPr>
    </w:p>
    <w:p w:rsidR="004F4A03" w:rsidRPr="00464D59" w:rsidRDefault="004F4A03" w:rsidP="004F4A03">
      <w:pPr>
        <w:spacing w:after="200" w:line="276" w:lineRule="auto"/>
        <w:jc w:val="both"/>
        <w:rPr>
          <w:rFonts w:ascii="AvantGarde Bk BT" w:hAnsi="AvantGarde Bk BT" w:cs="Arial"/>
          <w:color w:val="000000" w:themeColor="text1"/>
          <w:sz w:val="22"/>
          <w:szCs w:val="22"/>
        </w:rPr>
      </w:pPr>
      <w:r w:rsidRPr="00464D59">
        <w:rPr>
          <w:rFonts w:ascii="AvantGarde Bk BT" w:hAnsi="AvantGarde Bk BT" w:cs="Arial"/>
          <w:b/>
          <w:color w:val="000000" w:themeColor="text1"/>
          <w:sz w:val="22"/>
          <w:szCs w:val="22"/>
        </w:rPr>
        <w:t>TERCERO</w:t>
      </w:r>
      <w:r w:rsidRPr="00464D59">
        <w:rPr>
          <w:rFonts w:ascii="AvantGarde Bk BT" w:hAnsi="AvantGarde Bk BT" w:cs="Arial"/>
          <w:color w:val="000000" w:themeColor="text1"/>
          <w:sz w:val="22"/>
          <w:szCs w:val="22"/>
        </w:rPr>
        <w:t>. Notifíquese el presente dictamen a las instancias respectivas y a las demás autoridades universitarias competentes.</w:t>
      </w:r>
    </w:p>
    <w:p w:rsidR="00FB07A0" w:rsidRDefault="00FB07A0">
      <w:pPr>
        <w:rPr>
          <w:rFonts w:ascii="AvantGarde Bk BT" w:hAnsi="AvantGarde Bk BT" w:cs="Arial"/>
          <w:b/>
          <w:color w:val="000000" w:themeColor="text1"/>
          <w:sz w:val="22"/>
          <w:szCs w:val="22"/>
        </w:rPr>
      </w:pPr>
      <w:r>
        <w:rPr>
          <w:rFonts w:ascii="AvantGarde Bk BT" w:hAnsi="AvantGarde Bk BT" w:cs="Arial"/>
          <w:b/>
          <w:color w:val="000000" w:themeColor="text1"/>
          <w:sz w:val="22"/>
          <w:szCs w:val="22"/>
        </w:rPr>
        <w:br w:type="page"/>
      </w:r>
    </w:p>
    <w:p w:rsidR="004F4A03" w:rsidRPr="00E02A1B" w:rsidRDefault="004F4A03" w:rsidP="004F4A03">
      <w:pPr>
        <w:jc w:val="both"/>
        <w:rPr>
          <w:rFonts w:ascii="AvantGarde Bk BT" w:hAnsi="AvantGarde Bk BT"/>
          <w:color w:val="000000" w:themeColor="text1"/>
          <w:sz w:val="22"/>
          <w:szCs w:val="22"/>
          <w:lang w:val="es-ES_tradnl"/>
        </w:rPr>
      </w:pPr>
      <w:r w:rsidRPr="00E02A1B">
        <w:rPr>
          <w:rFonts w:ascii="AvantGarde Bk BT" w:hAnsi="AvantGarde Bk BT" w:cs="Arial"/>
          <w:b/>
          <w:color w:val="000000" w:themeColor="text1"/>
          <w:sz w:val="22"/>
          <w:szCs w:val="22"/>
        </w:rPr>
        <w:lastRenderedPageBreak/>
        <w:t>CUARTO</w:t>
      </w:r>
      <w:r w:rsidRPr="00E02A1B">
        <w:rPr>
          <w:rFonts w:ascii="AvantGarde Bk BT" w:hAnsi="AvantGarde Bk BT" w:cs="Arial"/>
          <w:color w:val="000000" w:themeColor="text1"/>
          <w:sz w:val="22"/>
          <w:szCs w:val="22"/>
        </w:rPr>
        <w:t xml:space="preserve">. </w:t>
      </w:r>
      <w:r w:rsidRPr="00E02A1B">
        <w:rPr>
          <w:rFonts w:ascii="AvantGarde Bk BT" w:hAnsi="AvantGarde Bk BT"/>
          <w:color w:val="000000" w:themeColor="text1"/>
          <w:sz w:val="22"/>
          <w:szCs w:val="22"/>
          <w:lang w:val="es-ES_tradnl"/>
        </w:rPr>
        <w:t xml:space="preserve">De conformidad a lo dispuesto en el último párrafo del artículo 35 de la Ley Orgánica, solicítese al C. Rector General resuelva provisionalmente el presente dictamen, en tanto el mismo se pone a consideración y es resuelto de manera definitiva por el pleno del H. Consejo General Universitario. </w:t>
      </w:r>
    </w:p>
    <w:p w:rsidR="004F4A03" w:rsidRPr="00464D59" w:rsidRDefault="004F4A03" w:rsidP="004F4A03">
      <w:pPr>
        <w:jc w:val="both"/>
        <w:rPr>
          <w:rFonts w:ascii="AvantGarde Bk BT" w:hAnsi="AvantGarde Bk BT"/>
          <w:color w:val="000000" w:themeColor="text1"/>
          <w:spacing w:val="-2"/>
          <w:sz w:val="22"/>
          <w:szCs w:val="22"/>
        </w:rPr>
      </w:pPr>
    </w:p>
    <w:p w:rsidR="004F4A03" w:rsidRPr="00464D59" w:rsidRDefault="004F4A03" w:rsidP="004F4A03">
      <w:pPr>
        <w:pStyle w:val="Sangra2detindependiente"/>
        <w:spacing w:after="0" w:line="240" w:lineRule="auto"/>
        <w:ind w:left="0"/>
        <w:jc w:val="center"/>
        <w:rPr>
          <w:rFonts w:ascii="AvantGarde Bk BT" w:hAnsi="AvantGarde Bk BT" w:cs="Arial"/>
          <w:color w:val="000000" w:themeColor="text1"/>
          <w:sz w:val="22"/>
          <w:szCs w:val="22"/>
          <w:lang w:val="pt-BR"/>
        </w:rPr>
      </w:pPr>
      <w:r w:rsidRPr="00464D59">
        <w:rPr>
          <w:rFonts w:ascii="AvantGarde Bk BT" w:hAnsi="AvantGarde Bk BT" w:cs="Arial"/>
          <w:color w:val="000000" w:themeColor="text1"/>
          <w:sz w:val="22"/>
          <w:szCs w:val="22"/>
          <w:lang w:val="pt-BR"/>
        </w:rPr>
        <w:t xml:space="preserve">A t e </w:t>
      </w:r>
      <w:proofErr w:type="gramStart"/>
      <w:r w:rsidRPr="00464D59">
        <w:rPr>
          <w:rFonts w:ascii="AvantGarde Bk BT" w:hAnsi="AvantGarde Bk BT" w:cs="Arial"/>
          <w:color w:val="000000" w:themeColor="text1"/>
          <w:sz w:val="22"/>
          <w:szCs w:val="22"/>
          <w:lang w:val="pt-BR"/>
        </w:rPr>
        <w:t>n</w:t>
      </w:r>
      <w:proofErr w:type="gramEnd"/>
      <w:r w:rsidRPr="00464D59">
        <w:rPr>
          <w:rFonts w:ascii="AvantGarde Bk BT" w:hAnsi="AvantGarde Bk BT" w:cs="Arial"/>
          <w:color w:val="000000" w:themeColor="text1"/>
          <w:sz w:val="22"/>
          <w:szCs w:val="22"/>
          <w:lang w:val="pt-BR"/>
        </w:rPr>
        <w:t xml:space="preserve"> t a m e n t e</w:t>
      </w:r>
    </w:p>
    <w:p w:rsidR="004F4A03" w:rsidRPr="00464D59" w:rsidRDefault="004F4A03" w:rsidP="004F4A03">
      <w:pPr>
        <w:jc w:val="center"/>
        <w:rPr>
          <w:rFonts w:ascii="AvantGarde Bk BT" w:hAnsi="AvantGarde Bk BT" w:cs="Arial"/>
          <w:b/>
          <w:color w:val="000000" w:themeColor="text1"/>
          <w:sz w:val="22"/>
          <w:szCs w:val="22"/>
        </w:rPr>
      </w:pPr>
      <w:r w:rsidRPr="00464D59">
        <w:rPr>
          <w:rFonts w:ascii="AvantGarde Bk BT" w:hAnsi="AvantGarde Bk BT" w:cs="Arial"/>
          <w:b/>
          <w:color w:val="000000" w:themeColor="text1"/>
          <w:sz w:val="22"/>
          <w:szCs w:val="22"/>
        </w:rPr>
        <w:t>"PIENSA Y TRABAJA"</w:t>
      </w:r>
    </w:p>
    <w:p w:rsidR="004F4A03" w:rsidRPr="00E02A1B" w:rsidRDefault="004F4A03" w:rsidP="004F4A03">
      <w:pPr>
        <w:contextualSpacing/>
        <w:jc w:val="center"/>
        <w:rPr>
          <w:rFonts w:ascii="AvantGarde Bk BT" w:hAnsi="AvantGarde Bk BT" w:cs="Arial"/>
          <w:b/>
          <w:bCs/>
          <w:i/>
          <w:iCs/>
          <w:color w:val="000000" w:themeColor="text1"/>
          <w:sz w:val="22"/>
          <w:szCs w:val="22"/>
          <w:lang w:val="es-ES_tradnl"/>
        </w:rPr>
      </w:pPr>
      <w:r w:rsidRPr="00E02A1B">
        <w:rPr>
          <w:rFonts w:ascii="AvantGarde Bk BT" w:hAnsi="AvantGarde Bk BT" w:cs="Arial"/>
          <w:b/>
          <w:bCs/>
          <w:i/>
          <w:iCs/>
          <w:color w:val="000000" w:themeColor="text1"/>
          <w:sz w:val="22"/>
          <w:szCs w:val="22"/>
          <w:lang w:val="es-ES_tradnl"/>
        </w:rPr>
        <w:t>“Año del legado de Fray Antonio Alcalde en Guadalajara”</w:t>
      </w:r>
    </w:p>
    <w:p w:rsidR="004F4A03" w:rsidRPr="00E02A1B" w:rsidRDefault="004F4A03" w:rsidP="004F4A03">
      <w:pPr>
        <w:jc w:val="center"/>
        <w:rPr>
          <w:rFonts w:ascii="AvantGarde Bk BT" w:hAnsi="AvantGarde Bk BT" w:cs="Arial"/>
          <w:color w:val="000000" w:themeColor="text1"/>
          <w:sz w:val="22"/>
          <w:szCs w:val="22"/>
        </w:rPr>
      </w:pPr>
      <w:r w:rsidRPr="00E02A1B">
        <w:rPr>
          <w:rFonts w:ascii="AvantGarde Bk BT" w:hAnsi="AvantGarde Bk BT" w:cs="Arial"/>
          <w:color w:val="000000" w:themeColor="text1"/>
          <w:sz w:val="22"/>
          <w:szCs w:val="22"/>
        </w:rPr>
        <w:t xml:space="preserve">Guadalajara, Jal., </w:t>
      </w:r>
      <w:r w:rsidR="00240D82">
        <w:rPr>
          <w:rFonts w:ascii="AvantGarde Bk BT" w:hAnsi="AvantGarde Bk BT" w:cs="Arial"/>
          <w:color w:val="000000" w:themeColor="text1"/>
          <w:sz w:val="22"/>
          <w:szCs w:val="22"/>
        </w:rPr>
        <w:t>20</w:t>
      </w:r>
      <w:r w:rsidRPr="00E02A1B">
        <w:rPr>
          <w:rFonts w:ascii="AvantGarde Bk BT" w:hAnsi="AvantGarde Bk BT" w:cs="Arial"/>
          <w:color w:val="000000" w:themeColor="text1"/>
          <w:sz w:val="22"/>
          <w:szCs w:val="22"/>
        </w:rPr>
        <w:t xml:space="preserve"> de </w:t>
      </w:r>
      <w:r w:rsidR="00240D82" w:rsidRPr="00240D82">
        <w:rPr>
          <w:rFonts w:ascii="AvantGarde Bk BT" w:hAnsi="AvantGarde Bk BT" w:cs="Arial"/>
          <w:color w:val="000000" w:themeColor="text1"/>
          <w:sz w:val="22"/>
          <w:szCs w:val="22"/>
        </w:rPr>
        <w:t>mayo</w:t>
      </w:r>
      <w:r w:rsidRPr="00240D82">
        <w:rPr>
          <w:rFonts w:ascii="AvantGarde Bk BT" w:hAnsi="AvantGarde Bk BT" w:cs="Arial"/>
          <w:color w:val="000000" w:themeColor="text1"/>
          <w:sz w:val="22"/>
          <w:szCs w:val="22"/>
        </w:rPr>
        <w:t xml:space="preserve"> de</w:t>
      </w:r>
      <w:r w:rsidRPr="00E02A1B">
        <w:rPr>
          <w:rFonts w:ascii="AvantGarde Bk BT" w:hAnsi="AvantGarde Bk BT" w:cs="Arial"/>
          <w:color w:val="000000" w:themeColor="text1"/>
          <w:sz w:val="22"/>
          <w:szCs w:val="22"/>
        </w:rPr>
        <w:t xml:space="preserve"> 2021</w:t>
      </w:r>
    </w:p>
    <w:p w:rsidR="004F4A03" w:rsidRPr="00464D59" w:rsidRDefault="004F4A03" w:rsidP="004F4A03">
      <w:pPr>
        <w:jc w:val="center"/>
        <w:rPr>
          <w:rFonts w:ascii="AvantGarde Bk BT" w:hAnsi="AvantGarde Bk BT"/>
          <w:b/>
          <w:bCs/>
          <w:color w:val="000000" w:themeColor="text1"/>
          <w:sz w:val="22"/>
          <w:szCs w:val="22"/>
        </w:rPr>
      </w:pPr>
      <w:r w:rsidRPr="00464D59">
        <w:rPr>
          <w:rFonts w:ascii="AvantGarde Bk BT" w:hAnsi="AvantGarde Bk BT" w:cs="Arial"/>
          <w:color w:val="000000" w:themeColor="text1"/>
          <w:sz w:val="22"/>
          <w:szCs w:val="22"/>
        </w:rPr>
        <w:t>Comisiones Permanentes de Educación y de Normatividad</w:t>
      </w:r>
    </w:p>
    <w:p w:rsidR="004F4A03" w:rsidRPr="00464D59" w:rsidRDefault="004F4A03" w:rsidP="004F4A03">
      <w:pPr>
        <w:jc w:val="both"/>
        <w:rPr>
          <w:rFonts w:ascii="AvantGarde Bk BT" w:hAnsi="AvantGarde Bk BT"/>
          <w:bCs/>
          <w:color w:val="000000" w:themeColor="text1"/>
          <w:sz w:val="22"/>
          <w:szCs w:val="22"/>
        </w:rPr>
      </w:pPr>
    </w:p>
    <w:p w:rsidR="004F4A03" w:rsidRPr="00464D59" w:rsidRDefault="004F4A03" w:rsidP="004F4A03">
      <w:pPr>
        <w:jc w:val="both"/>
        <w:rPr>
          <w:rFonts w:ascii="AvantGarde Bk BT" w:hAnsi="AvantGarde Bk BT"/>
          <w:bCs/>
          <w:color w:val="000000" w:themeColor="text1"/>
          <w:sz w:val="22"/>
          <w:szCs w:val="22"/>
        </w:rPr>
      </w:pPr>
    </w:p>
    <w:p w:rsidR="004F4A03" w:rsidRPr="00464D59" w:rsidRDefault="004F4A03" w:rsidP="004F4A03">
      <w:pPr>
        <w:jc w:val="both"/>
        <w:rPr>
          <w:rFonts w:ascii="AvantGarde Bk BT" w:hAnsi="AvantGarde Bk BT"/>
          <w:bCs/>
          <w:color w:val="000000" w:themeColor="text1"/>
          <w:sz w:val="22"/>
          <w:szCs w:val="22"/>
        </w:rPr>
      </w:pPr>
    </w:p>
    <w:p w:rsidR="004F4A03" w:rsidRPr="00464D59" w:rsidRDefault="004F4A03" w:rsidP="004F4A03">
      <w:pPr>
        <w:jc w:val="center"/>
        <w:rPr>
          <w:rFonts w:ascii="AvantGarde Bk BT" w:hAnsi="AvantGarde Bk BT"/>
          <w:b/>
          <w:bCs/>
          <w:color w:val="000000" w:themeColor="text1"/>
          <w:sz w:val="22"/>
          <w:szCs w:val="22"/>
        </w:rPr>
      </w:pPr>
      <w:r w:rsidRPr="00464D59">
        <w:rPr>
          <w:rFonts w:ascii="AvantGarde Bk BT" w:hAnsi="AvantGarde Bk BT"/>
          <w:b/>
          <w:bCs/>
          <w:color w:val="000000" w:themeColor="text1"/>
          <w:sz w:val="22"/>
          <w:szCs w:val="22"/>
        </w:rPr>
        <w:t>Dr. Ricardo Villanueva Lomelí</w:t>
      </w:r>
    </w:p>
    <w:p w:rsidR="004F4A03" w:rsidRPr="00464D59" w:rsidRDefault="004F4A03" w:rsidP="004F4A03">
      <w:pPr>
        <w:jc w:val="center"/>
        <w:rPr>
          <w:rFonts w:ascii="AvantGarde Bk BT" w:hAnsi="AvantGarde Bk BT"/>
          <w:color w:val="000000" w:themeColor="text1"/>
          <w:sz w:val="22"/>
          <w:szCs w:val="22"/>
        </w:rPr>
      </w:pPr>
      <w:r w:rsidRPr="00464D59">
        <w:rPr>
          <w:rFonts w:ascii="AvantGarde Bk BT" w:hAnsi="AvantGarde Bk BT"/>
          <w:color w:val="000000" w:themeColor="text1"/>
          <w:sz w:val="22"/>
          <w:szCs w:val="22"/>
        </w:rPr>
        <w:t>Presidente</w:t>
      </w:r>
    </w:p>
    <w:p w:rsidR="004F4A03" w:rsidRPr="00464D59" w:rsidRDefault="004F4A03" w:rsidP="004F4A03">
      <w:pPr>
        <w:jc w:val="both"/>
        <w:rPr>
          <w:rFonts w:ascii="AvantGarde Bk BT" w:hAnsi="AvantGarde Bk BT"/>
          <w:color w:val="000000" w:themeColor="text1"/>
          <w:sz w:val="22"/>
          <w:szCs w:val="22"/>
        </w:rPr>
      </w:pPr>
    </w:p>
    <w:p w:rsidR="004F4A03" w:rsidRPr="00464D59" w:rsidRDefault="004F4A03" w:rsidP="004F4A03">
      <w:pPr>
        <w:rPr>
          <w:rFonts w:ascii="AvantGarde Bk BT" w:eastAsia="Calibri" w:hAnsi="AvantGarde Bk BT"/>
          <w:color w:val="000000" w:themeColor="text1"/>
          <w:sz w:val="22"/>
          <w:szCs w:val="22"/>
        </w:rPr>
      </w:pPr>
    </w:p>
    <w:p w:rsidR="004F4A03" w:rsidRPr="00464D59" w:rsidRDefault="004F4A03" w:rsidP="004F4A03">
      <w:pPr>
        <w:rPr>
          <w:color w:val="000000" w:themeColor="text1"/>
          <w:sz w:val="22"/>
          <w:szCs w:val="22"/>
        </w:rPr>
      </w:pPr>
    </w:p>
    <w:tbl>
      <w:tblPr>
        <w:tblW w:w="5052" w:type="pct"/>
        <w:tblLook w:val="0400" w:firstRow="0" w:lastRow="0" w:firstColumn="0" w:lastColumn="0" w:noHBand="0" w:noVBand="1"/>
      </w:tblPr>
      <w:tblGrid>
        <w:gridCol w:w="4822"/>
        <w:gridCol w:w="4681"/>
      </w:tblGrid>
      <w:tr w:rsidR="004F4A03" w:rsidRPr="00464D59" w:rsidTr="006A19B9">
        <w:trPr>
          <w:trHeight w:val="303"/>
        </w:trPr>
        <w:tc>
          <w:tcPr>
            <w:tcW w:w="2537" w:type="pct"/>
          </w:tcPr>
          <w:p w:rsidR="004F4A03" w:rsidRPr="009C09DE" w:rsidRDefault="004F4A03"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rPr>
              <w:t>Dr. Juan Manuel Durán Juárez</w:t>
            </w: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ind w:left="284"/>
              <w:rPr>
                <w:rFonts w:ascii="AvantGarde Bk BT" w:hAnsi="AvantGarde Bk BT"/>
                <w:color w:val="000000" w:themeColor="text1"/>
                <w:sz w:val="22"/>
                <w:szCs w:val="22"/>
              </w:rPr>
            </w:pPr>
          </w:p>
        </w:tc>
        <w:tc>
          <w:tcPr>
            <w:tcW w:w="2463" w:type="pct"/>
          </w:tcPr>
          <w:p w:rsidR="004F4A03" w:rsidRPr="009C09DE" w:rsidRDefault="004F4A03"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lang w:val="es-ES_tradnl"/>
              </w:rPr>
              <w:t>Mtro. César Antonio Barba Delgadillo</w:t>
            </w:r>
          </w:p>
        </w:tc>
      </w:tr>
      <w:tr w:rsidR="004F4A03" w:rsidRPr="00464D59" w:rsidTr="006A19B9">
        <w:trPr>
          <w:trHeight w:val="70"/>
        </w:trPr>
        <w:tc>
          <w:tcPr>
            <w:tcW w:w="2537" w:type="pct"/>
          </w:tcPr>
          <w:p w:rsidR="004F4A03" w:rsidRPr="009C09DE" w:rsidRDefault="004F4A03"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rPr>
              <w:t>Mtra. Karla Alejandrina Planter Pérez</w:t>
            </w: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rPr>
                <w:rFonts w:ascii="AvantGarde Bk BT" w:hAnsi="AvantGarde Bk BT"/>
                <w:color w:val="000000" w:themeColor="text1"/>
                <w:sz w:val="22"/>
                <w:szCs w:val="22"/>
              </w:rPr>
            </w:pPr>
          </w:p>
        </w:tc>
        <w:tc>
          <w:tcPr>
            <w:tcW w:w="2463" w:type="pct"/>
          </w:tcPr>
          <w:p w:rsidR="004F4A03" w:rsidRPr="009C09DE" w:rsidRDefault="004F4A03"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rPr>
              <w:t>Dr. Hans Jurado Parres</w:t>
            </w:r>
          </w:p>
        </w:tc>
      </w:tr>
      <w:tr w:rsidR="004F4A03" w:rsidRPr="00464D59" w:rsidTr="006A19B9">
        <w:trPr>
          <w:trHeight w:val="317"/>
        </w:trPr>
        <w:tc>
          <w:tcPr>
            <w:tcW w:w="2537" w:type="pct"/>
          </w:tcPr>
          <w:p w:rsidR="004F4A03" w:rsidRPr="009C09DE" w:rsidRDefault="004F4A03"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rPr>
              <w:t>Dr. Jaime Federico Andrade Villanueva</w:t>
            </w: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ind w:left="284"/>
              <w:rPr>
                <w:rFonts w:ascii="AvantGarde Bk BT" w:hAnsi="AvantGarde Bk BT"/>
                <w:strike/>
                <w:color w:val="000000" w:themeColor="text1"/>
                <w:sz w:val="22"/>
                <w:szCs w:val="22"/>
              </w:rPr>
            </w:pPr>
          </w:p>
        </w:tc>
        <w:tc>
          <w:tcPr>
            <w:tcW w:w="2463" w:type="pct"/>
          </w:tcPr>
          <w:p w:rsidR="004F4A03" w:rsidRPr="009C09DE" w:rsidRDefault="004F4A03" w:rsidP="006A19B9">
            <w:pPr>
              <w:ind w:left="284"/>
              <w:jc w:val="center"/>
              <w:rPr>
                <w:rFonts w:ascii="AvantGarde Bk BT" w:hAnsi="AvantGarde Bk BT"/>
                <w:color w:val="000000" w:themeColor="text1"/>
                <w:sz w:val="22"/>
                <w:szCs w:val="22"/>
              </w:rPr>
            </w:pPr>
          </w:p>
        </w:tc>
      </w:tr>
      <w:tr w:rsidR="004F4A03" w:rsidRPr="00464D59" w:rsidTr="006A19B9">
        <w:trPr>
          <w:trHeight w:val="317"/>
        </w:trPr>
        <w:tc>
          <w:tcPr>
            <w:tcW w:w="2537" w:type="pct"/>
          </w:tcPr>
          <w:p w:rsidR="004F4A03" w:rsidRPr="009C09DE" w:rsidRDefault="004F4A03" w:rsidP="006A19B9">
            <w:pPr>
              <w:ind w:left="284"/>
              <w:jc w:val="center"/>
              <w:rPr>
                <w:rFonts w:ascii="AvantGarde Bk BT" w:hAnsi="AvantGarde Bk BT"/>
                <w:color w:val="000000" w:themeColor="text1"/>
                <w:sz w:val="20"/>
                <w:szCs w:val="22"/>
              </w:rPr>
            </w:pPr>
            <w:r w:rsidRPr="009C09DE">
              <w:rPr>
                <w:rFonts w:ascii="AvantGarde Bk BT" w:hAnsi="AvantGarde Bk BT"/>
                <w:color w:val="000000" w:themeColor="text1"/>
                <w:sz w:val="22"/>
                <w:szCs w:val="22"/>
              </w:rPr>
              <w:t xml:space="preserve">C. </w:t>
            </w:r>
            <w:r w:rsidRPr="009C09DE">
              <w:rPr>
                <w:rFonts w:ascii="AvantGarde Bk BT" w:hAnsi="AvantGarde Bk BT"/>
                <w:color w:val="000000" w:themeColor="text1"/>
                <w:sz w:val="22"/>
                <w:lang w:val="es-ES_tradnl"/>
              </w:rPr>
              <w:t>Ana Sofía Padilla Herrera</w:t>
            </w: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rPr>
                <w:rFonts w:ascii="AvantGarde Bk BT" w:hAnsi="AvantGarde Bk BT"/>
                <w:color w:val="000000" w:themeColor="text1"/>
                <w:sz w:val="22"/>
                <w:szCs w:val="22"/>
              </w:rPr>
            </w:pPr>
          </w:p>
          <w:p w:rsidR="004F4A03" w:rsidRPr="009C09DE" w:rsidRDefault="004F4A03" w:rsidP="006A19B9">
            <w:pPr>
              <w:ind w:left="284"/>
              <w:rPr>
                <w:rFonts w:ascii="AvantGarde Bk BT" w:hAnsi="AvantGarde Bk BT"/>
                <w:color w:val="000000" w:themeColor="text1"/>
                <w:sz w:val="22"/>
                <w:szCs w:val="22"/>
              </w:rPr>
            </w:pPr>
          </w:p>
        </w:tc>
        <w:tc>
          <w:tcPr>
            <w:tcW w:w="2463" w:type="pct"/>
          </w:tcPr>
          <w:p w:rsidR="004F4A03" w:rsidRPr="009C09DE" w:rsidRDefault="00FB07A0" w:rsidP="006A19B9">
            <w:pPr>
              <w:ind w:left="284"/>
              <w:jc w:val="center"/>
              <w:rPr>
                <w:rFonts w:ascii="AvantGarde Bk BT" w:hAnsi="AvantGarde Bk BT"/>
                <w:color w:val="000000" w:themeColor="text1"/>
                <w:sz w:val="22"/>
                <w:szCs w:val="22"/>
              </w:rPr>
            </w:pPr>
            <w:r w:rsidRPr="009C09DE">
              <w:rPr>
                <w:rFonts w:ascii="AvantGarde Bk BT" w:hAnsi="AvantGarde Bk BT"/>
                <w:color w:val="000000" w:themeColor="text1"/>
                <w:sz w:val="22"/>
                <w:szCs w:val="22"/>
              </w:rPr>
              <w:t xml:space="preserve">C. </w:t>
            </w:r>
            <w:r w:rsidRPr="009C09DE">
              <w:rPr>
                <w:rFonts w:ascii="AvantGarde Bk BT" w:hAnsi="AvantGarde Bk BT"/>
                <w:color w:val="000000" w:themeColor="text1"/>
                <w:sz w:val="22"/>
                <w:lang w:val="es-ES_tradnl"/>
              </w:rPr>
              <w:t>Alfonso Martín Sánchez</w:t>
            </w:r>
          </w:p>
        </w:tc>
      </w:tr>
    </w:tbl>
    <w:p w:rsidR="004F4A03" w:rsidRPr="00464D59" w:rsidRDefault="004F4A03" w:rsidP="004F4A03">
      <w:pPr>
        <w:jc w:val="center"/>
        <w:rPr>
          <w:rFonts w:ascii="AvantGarde Bk BT" w:hAnsi="AvantGarde Bk BT"/>
          <w:b/>
          <w:bCs/>
          <w:color w:val="000000" w:themeColor="text1"/>
          <w:sz w:val="22"/>
          <w:szCs w:val="22"/>
        </w:rPr>
      </w:pPr>
      <w:r w:rsidRPr="00464D59">
        <w:rPr>
          <w:rFonts w:ascii="AvantGarde Bk BT" w:hAnsi="AvantGarde Bk BT"/>
          <w:b/>
          <w:bCs/>
          <w:color w:val="000000" w:themeColor="text1"/>
          <w:sz w:val="22"/>
          <w:szCs w:val="22"/>
        </w:rPr>
        <w:t>Mtro. Guillermo Arturo Gómez Mata</w:t>
      </w:r>
    </w:p>
    <w:p w:rsidR="004F4A03" w:rsidRPr="00464D59" w:rsidRDefault="004F4A03" w:rsidP="004F4A03">
      <w:pPr>
        <w:jc w:val="center"/>
        <w:rPr>
          <w:rFonts w:ascii="AvantGarde Bk BT" w:hAnsi="AvantGarde Bk BT"/>
          <w:color w:val="000000" w:themeColor="text1"/>
          <w:sz w:val="22"/>
          <w:szCs w:val="22"/>
        </w:rPr>
      </w:pPr>
      <w:r w:rsidRPr="00464D59">
        <w:rPr>
          <w:rFonts w:ascii="AvantGarde Bk BT" w:hAnsi="AvantGarde Bk BT"/>
          <w:color w:val="000000" w:themeColor="text1"/>
          <w:sz w:val="22"/>
          <w:szCs w:val="22"/>
        </w:rPr>
        <w:t>Secretario de Actas y Acuerdos</w:t>
      </w:r>
    </w:p>
    <w:sectPr w:rsidR="004F4A03" w:rsidRPr="00464D59" w:rsidSect="00FB07A0">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DE" w:rsidRDefault="003641DE" w:rsidP="004F4A03">
      <w:r>
        <w:separator/>
      </w:r>
    </w:p>
  </w:endnote>
  <w:endnote w:type="continuationSeparator" w:id="0">
    <w:p w:rsidR="003641DE" w:rsidRDefault="003641DE" w:rsidP="004F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8607168"/>
      <w:docPartObj>
        <w:docPartGallery w:val="Page Numbers (Bottom of Page)"/>
        <w:docPartUnique/>
      </w:docPartObj>
    </w:sdtPr>
    <w:sdtEndPr/>
    <w:sdtContent>
      <w:sdt>
        <w:sdtPr>
          <w:rPr>
            <w:sz w:val="17"/>
            <w:szCs w:val="17"/>
          </w:rPr>
          <w:id w:val="216747541"/>
          <w:docPartObj>
            <w:docPartGallery w:val="Page Numbers (Top of Page)"/>
            <w:docPartUnique/>
          </w:docPartObj>
        </w:sdtPr>
        <w:sdtEndPr/>
        <w:sdtContent>
          <w:p w:rsidR="00617995" w:rsidRPr="005B1F81" w:rsidRDefault="008A28CC" w:rsidP="005B1F81">
            <w:pPr>
              <w:tabs>
                <w:tab w:val="center" w:pos="4419"/>
                <w:tab w:val="right" w:pos="8838"/>
              </w:tabs>
              <w:jc w:val="center"/>
              <w:rPr>
                <w:sz w:val="17"/>
                <w:szCs w:val="17"/>
              </w:rPr>
            </w:pPr>
            <w:r w:rsidRPr="005B1F81">
              <w:rPr>
                <w:sz w:val="17"/>
                <w:szCs w:val="17"/>
              </w:rPr>
              <w:t xml:space="preserve">Página </w:t>
            </w:r>
            <w:r w:rsidRPr="005B1F81">
              <w:rPr>
                <w:sz w:val="17"/>
                <w:szCs w:val="17"/>
              </w:rPr>
              <w:fldChar w:fldCharType="begin"/>
            </w:r>
            <w:r w:rsidRPr="005B1F81">
              <w:rPr>
                <w:sz w:val="17"/>
                <w:szCs w:val="17"/>
              </w:rPr>
              <w:instrText>PAGE</w:instrText>
            </w:r>
            <w:r w:rsidRPr="005B1F81">
              <w:rPr>
                <w:sz w:val="17"/>
                <w:szCs w:val="17"/>
              </w:rPr>
              <w:fldChar w:fldCharType="separate"/>
            </w:r>
            <w:r w:rsidR="00CE04C9">
              <w:rPr>
                <w:noProof/>
                <w:sz w:val="17"/>
                <w:szCs w:val="17"/>
              </w:rPr>
              <w:t>11</w:t>
            </w:r>
            <w:r w:rsidRPr="005B1F81">
              <w:rPr>
                <w:sz w:val="17"/>
                <w:szCs w:val="17"/>
              </w:rPr>
              <w:fldChar w:fldCharType="end"/>
            </w:r>
            <w:r w:rsidRPr="005B1F81">
              <w:rPr>
                <w:sz w:val="17"/>
                <w:szCs w:val="17"/>
              </w:rPr>
              <w:t xml:space="preserve"> de </w:t>
            </w:r>
            <w:r w:rsidRPr="005B1F81">
              <w:rPr>
                <w:sz w:val="17"/>
                <w:szCs w:val="17"/>
              </w:rPr>
              <w:fldChar w:fldCharType="begin"/>
            </w:r>
            <w:r w:rsidRPr="005B1F81">
              <w:rPr>
                <w:sz w:val="17"/>
                <w:szCs w:val="17"/>
              </w:rPr>
              <w:instrText>NUMPAGES</w:instrText>
            </w:r>
            <w:r w:rsidRPr="005B1F81">
              <w:rPr>
                <w:sz w:val="17"/>
                <w:szCs w:val="17"/>
              </w:rPr>
              <w:fldChar w:fldCharType="separate"/>
            </w:r>
            <w:r w:rsidR="00CE04C9">
              <w:rPr>
                <w:noProof/>
                <w:sz w:val="17"/>
                <w:szCs w:val="17"/>
              </w:rPr>
              <w:t>11</w:t>
            </w:r>
            <w:r w:rsidRPr="005B1F81">
              <w:rPr>
                <w:sz w:val="17"/>
                <w:szCs w:val="17"/>
              </w:rPr>
              <w:fldChar w:fldCharType="end"/>
            </w:r>
          </w:p>
        </w:sdtContent>
      </w:sdt>
    </w:sdtContent>
  </w:sdt>
  <w:p w:rsidR="003A3806" w:rsidRPr="00C85DA2" w:rsidRDefault="008A28CC" w:rsidP="00617995">
    <w:pPr>
      <w:pStyle w:val="Piedepgina"/>
      <w:jc w:val="center"/>
      <w:rPr>
        <w:sz w:val="17"/>
        <w:szCs w:val="17"/>
      </w:rPr>
    </w:pPr>
    <w:r w:rsidRPr="00C85DA2">
      <w:rPr>
        <w:sz w:val="17"/>
        <w:szCs w:val="17"/>
      </w:rPr>
      <w:t xml:space="preserve"> Av. Juárez No. 976, Edificio de la Rectoría General, Piso 5, Colonia Centro C.P. 44100</w:t>
    </w:r>
  </w:p>
  <w:p w:rsidR="003A3806" w:rsidRPr="00C85DA2" w:rsidRDefault="008A28CC" w:rsidP="00617995">
    <w:pPr>
      <w:pStyle w:val="Piedepgina"/>
      <w:jc w:val="center"/>
      <w:rPr>
        <w:sz w:val="17"/>
        <w:szCs w:val="17"/>
      </w:rPr>
    </w:pPr>
    <w:r w:rsidRPr="00C85DA2">
      <w:rPr>
        <w:sz w:val="17"/>
        <w:szCs w:val="17"/>
      </w:rPr>
      <w:t>Guadalajara, Jalisco. México. Tel. [52] (33) 3134 2222, Exts. 12428, 12</w:t>
    </w:r>
    <w:r>
      <w:rPr>
        <w:sz w:val="17"/>
        <w:szCs w:val="17"/>
      </w:rPr>
      <w:t xml:space="preserve">243, 12420 y 12457. </w:t>
    </w:r>
    <w:r w:rsidRPr="0040613A">
      <w:rPr>
        <w:sz w:val="17"/>
        <w:szCs w:val="17"/>
      </w:rPr>
      <w:t xml:space="preserve">Teléfono directo </w:t>
    </w:r>
    <w:r w:rsidRPr="00C85DA2">
      <w:rPr>
        <w:sz w:val="17"/>
        <w:szCs w:val="17"/>
      </w:rPr>
      <w:t>3134 2243</w:t>
    </w:r>
  </w:p>
  <w:p w:rsidR="003A3806" w:rsidRPr="005B1F81" w:rsidRDefault="008A28CC" w:rsidP="005B1F81">
    <w:pPr>
      <w:pStyle w:val="Piedepgina"/>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DE" w:rsidRDefault="003641DE" w:rsidP="004F4A03">
      <w:r>
        <w:separator/>
      </w:r>
    </w:p>
  </w:footnote>
  <w:footnote w:type="continuationSeparator" w:id="0">
    <w:p w:rsidR="003641DE" w:rsidRDefault="003641DE" w:rsidP="004F4A03">
      <w:r>
        <w:continuationSeparator/>
      </w:r>
    </w:p>
  </w:footnote>
  <w:footnote w:id="1">
    <w:p w:rsidR="004F4A03" w:rsidRPr="00337769" w:rsidRDefault="004F4A03" w:rsidP="004F4A03">
      <w:pPr>
        <w:pStyle w:val="Textonotapie"/>
        <w:jc w:val="both"/>
        <w:rPr>
          <w:rFonts w:ascii="Arial Narrow" w:hAnsi="Arial Narrow"/>
          <w:color w:val="000000" w:themeColor="text1"/>
          <w:sz w:val="16"/>
          <w:szCs w:val="16"/>
        </w:rPr>
      </w:pPr>
      <w:r w:rsidRPr="00337769">
        <w:rPr>
          <w:rStyle w:val="Refdenotaalpie"/>
          <w:rFonts w:ascii="Arial Narrow" w:hAnsi="Arial Narrow"/>
          <w:color w:val="000000" w:themeColor="text1"/>
          <w:sz w:val="16"/>
          <w:szCs w:val="16"/>
        </w:rPr>
        <w:footnoteRef/>
      </w:r>
      <w:r w:rsidRPr="00337769">
        <w:rPr>
          <w:rFonts w:ascii="Arial Narrow" w:hAnsi="Arial Narrow"/>
          <w:color w:val="000000" w:themeColor="text1"/>
          <w:sz w:val="16"/>
          <w:szCs w:val="16"/>
        </w:rPr>
        <w:t xml:space="preserve"> </w:t>
      </w:r>
      <w:r w:rsidRPr="00337769">
        <w:rPr>
          <w:rFonts w:ascii="AvantGarde Bk BT" w:eastAsia="Times New Roman" w:hAnsi="AvantGarde Bk BT"/>
          <w:bCs/>
          <w:color w:val="000000" w:themeColor="text1"/>
          <w:sz w:val="16"/>
          <w:szCs w:val="16"/>
          <w:lang w:val="es-ES_tradnl" w:eastAsia="es-MX"/>
        </w:rPr>
        <w:t>Ídem.</w:t>
      </w:r>
    </w:p>
  </w:footnote>
  <w:footnote w:id="2">
    <w:p w:rsidR="004F4A03" w:rsidRPr="00537290" w:rsidRDefault="004F4A03" w:rsidP="004F4A03">
      <w:pPr>
        <w:pStyle w:val="Textonotapie"/>
        <w:jc w:val="both"/>
        <w:rPr>
          <w:rFonts w:ascii="AvantGarde Bk BT" w:hAnsi="AvantGarde Bk BT" w:cs="Arial"/>
          <w:color w:val="000000" w:themeColor="text1"/>
          <w:sz w:val="16"/>
          <w:szCs w:val="16"/>
        </w:rPr>
      </w:pPr>
      <w:r w:rsidRPr="002D56A0">
        <w:rPr>
          <w:rStyle w:val="Refdenotaalpie"/>
          <w:sz w:val="18"/>
          <w:szCs w:val="18"/>
        </w:rPr>
        <w:footnoteRef/>
      </w:r>
      <w:r w:rsidRPr="002D56A0">
        <w:rPr>
          <w:sz w:val="18"/>
          <w:szCs w:val="18"/>
        </w:rPr>
        <w:t xml:space="preserve"> </w:t>
      </w:r>
      <w:r w:rsidRPr="00337769">
        <w:rPr>
          <w:rFonts w:ascii="AvantGarde Bk BT" w:hAnsi="AvantGarde Bk BT" w:cs="Arial"/>
          <w:color w:val="000000" w:themeColor="text1"/>
          <w:sz w:val="16"/>
          <w:szCs w:val="16"/>
        </w:rPr>
        <w:t xml:space="preserve">IESLAC (2020) Educación Superior para todas las personas, pero con calidad. Recuperado el 20 de noviembre de 2020, desde: </w:t>
      </w:r>
      <w:r w:rsidRPr="00537290">
        <w:rPr>
          <w:rFonts w:ascii="AvantGarde Bk BT" w:hAnsi="AvantGarde Bk BT" w:cs="Arial"/>
          <w:color w:val="000000" w:themeColor="text1"/>
          <w:sz w:val="16"/>
          <w:szCs w:val="16"/>
        </w:rPr>
        <w:t xml:space="preserve">https://www.iesalc.unesco.org/2020/10/12/educacion-superior-para-todas-las-personas-pero-con-calidad/ </w:t>
      </w:r>
    </w:p>
  </w:footnote>
  <w:footnote w:id="3">
    <w:p w:rsidR="004F4A03" w:rsidRDefault="004F4A03" w:rsidP="004F4A03">
      <w:pPr>
        <w:pStyle w:val="Textonotapie"/>
        <w:jc w:val="both"/>
      </w:pPr>
      <w:r w:rsidRPr="00537290">
        <w:rPr>
          <w:rStyle w:val="Refdenotaalpie"/>
          <w:color w:val="000000" w:themeColor="text1"/>
        </w:rPr>
        <w:footnoteRef/>
      </w:r>
      <w:r w:rsidRPr="00537290">
        <w:rPr>
          <w:color w:val="000000" w:themeColor="text1"/>
        </w:rPr>
        <w:t xml:space="preserve"> </w:t>
      </w:r>
      <w:r w:rsidRPr="00537290">
        <w:rPr>
          <w:rFonts w:ascii="AvantGarde Bk BT" w:hAnsi="AvantGarde Bk BT" w:cs="Arial"/>
          <w:color w:val="000000" w:themeColor="text1"/>
          <w:sz w:val="16"/>
          <w:szCs w:val="16"/>
        </w:rPr>
        <w:t>UNESCO (2021)</w:t>
      </w:r>
      <w:r w:rsidRPr="00537290">
        <w:rPr>
          <w:color w:val="000000" w:themeColor="text1"/>
        </w:rPr>
        <w:t xml:space="preserve"> </w:t>
      </w:r>
      <w:r w:rsidRPr="00537290">
        <w:rPr>
          <w:rFonts w:ascii="AvantGarde Bk BT" w:hAnsi="AvantGarde Bk BT" w:cs="Arial"/>
          <w:color w:val="000000" w:themeColor="text1"/>
          <w:sz w:val="16"/>
          <w:szCs w:val="16"/>
        </w:rPr>
        <w:t>Interrupción y respuesta educativa. Recuperado el 18 de mayo de 2021, desde: https://es.unesco.org/covid19/educationresponse</w:t>
      </w:r>
    </w:p>
  </w:footnote>
  <w:footnote w:id="4">
    <w:p w:rsidR="004F4A03" w:rsidRPr="002D56A0" w:rsidRDefault="004F4A03" w:rsidP="004F4A03">
      <w:pPr>
        <w:pStyle w:val="Textonotapie"/>
        <w:jc w:val="both"/>
        <w:rPr>
          <w:rFonts w:ascii="AvantGarde Bk BT" w:hAnsi="AvantGarde Bk BT" w:cs="Arial"/>
          <w:color w:val="000000" w:themeColor="text1"/>
          <w:sz w:val="18"/>
          <w:szCs w:val="18"/>
        </w:rPr>
      </w:pPr>
      <w:r w:rsidRPr="00337769">
        <w:rPr>
          <w:rStyle w:val="Refdenotaalpie"/>
          <w:sz w:val="16"/>
          <w:szCs w:val="16"/>
        </w:rPr>
        <w:footnoteRef/>
      </w:r>
      <w:r w:rsidRPr="00337769">
        <w:rPr>
          <w:sz w:val="16"/>
          <w:szCs w:val="16"/>
        </w:rPr>
        <w:t xml:space="preserve"> </w:t>
      </w:r>
      <w:r w:rsidRPr="00337769">
        <w:rPr>
          <w:rFonts w:ascii="AvantGarde Bk BT" w:hAnsi="AvantGarde Bk BT" w:cs="Arial"/>
          <w:color w:val="000000" w:themeColor="text1"/>
          <w:sz w:val="16"/>
          <w:szCs w:val="16"/>
        </w:rPr>
        <w:t>Prensa de la Universidad de Guadalajara (2020) Rueda de prensa del 16 de abril de 2020, para dar a conocer las medidas que la</w:t>
      </w:r>
      <w:r>
        <w:rPr>
          <w:rFonts w:ascii="AvantGarde Bk BT" w:hAnsi="AvantGarde Bk BT" w:cs="Arial"/>
          <w:color w:val="000000" w:themeColor="text1"/>
          <w:sz w:val="16"/>
          <w:szCs w:val="16"/>
        </w:rPr>
        <w:t xml:space="preserve"> </w:t>
      </w:r>
      <w:hyperlink r:id="rId1" w:history="1">
        <w:r w:rsidRPr="00337769">
          <w:rPr>
            <w:rFonts w:ascii="AvantGarde Bk BT" w:hAnsi="AvantGarde Bk BT" w:cs="Arial"/>
            <w:color w:val="000000" w:themeColor="text1"/>
            <w:sz w:val="16"/>
            <w:szCs w:val="16"/>
          </w:rPr>
          <w:t>UdeG</w:t>
        </w:r>
      </w:hyperlink>
      <w:r>
        <w:rPr>
          <w:rFonts w:ascii="AvantGarde Bk BT" w:hAnsi="AvantGarde Bk BT" w:cs="Arial"/>
          <w:color w:val="000000" w:themeColor="text1"/>
          <w:sz w:val="16"/>
          <w:szCs w:val="16"/>
        </w:rPr>
        <w:t xml:space="preserve"> </w:t>
      </w:r>
      <w:r w:rsidRPr="00337769">
        <w:rPr>
          <w:rFonts w:ascii="AvantGarde Bk BT" w:hAnsi="AvantGarde Bk BT" w:cs="Arial"/>
          <w:color w:val="000000" w:themeColor="text1"/>
          <w:sz w:val="16"/>
          <w:szCs w:val="16"/>
        </w:rPr>
        <w:t xml:space="preserve">implementará para concluir el calendario escolar 2020-A, así como lo relacionado con el examen de admisión. Recuperado el 20 de noviembre de 2020, desde: </w:t>
      </w:r>
      <w:hyperlink r:id="rId2" w:history="1">
        <w:r w:rsidRPr="00337769">
          <w:rPr>
            <w:rFonts w:ascii="AvantGarde Bk BT" w:hAnsi="AvantGarde Bk BT" w:cs="Arial"/>
            <w:color w:val="000000" w:themeColor="text1"/>
            <w:sz w:val="16"/>
            <w:szCs w:val="16"/>
          </w:rPr>
          <w:t>https://es-la.facebook.com/PrensaUDG/videos/2849929241743019/</w:t>
        </w:r>
      </w:hyperlink>
      <w:r w:rsidRPr="002D56A0">
        <w:rPr>
          <w:rFonts w:ascii="AvantGarde Bk BT" w:hAnsi="AvantGarde Bk BT" w:cs="Arial"/>
          <w:color w:val="000000" w:themeColor="text1"/>
          <w:sz w:val="18"/>
          <w:szCs w:val="18"/>
        </w:rPr>
        <w:t xml:space="preserve"> </w:t>
      </w:r>
    </w:p>
  </w:footnote>
  <w:footnote w:id="5">
    <w:p w:rsidR="004F4A03" w:rsidRDefault="004F4A03" w:rsidP="004F4A03">
      <w:pPr>
        <w:pStyle w:val="Textonotapie"/>
      </w:pPr>
      <w:r w:rsidRPr="00A43AA9">
        <w:rPr>
          <w:rStyle w:val="Refdenotaalpie"/>
          <w:color w:val="000000" w:themeColor="text1"/>
        </w:rPr>
        <w:footnoteRef/>
      </w:r>
      <w:r w:rsidRPr="00A43AA9">
        <w:rPr>
          <w:rFonts w:ascii="AvantGarde Bk BT" w:hAnsi="AvantGarde Bk BT" w:cs="Arial"/>
          <w:color w:val="000000" w:themeColor="text1"/>
          <w:sz w:val="16"/>
          <w:szCs w:val="16"/>
        </w:rPr>
        <w:t xml:space="preserve"> La Gaceta de la Universidad de Guadalajara (2021) Ofrece el SEMS alternativas para evitar deserción escolar. Recuperado el 18 de mayo de 2021, desde: http://www.gaceta.udg.mx/ofrece-el-sems-alternativas-para-evitar-desercion-escolar/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06" w:rsidRDefault="008A28CC" w:rsidP="007B1178">
    <w:pPr>
      <w:pStyle w:val="Encabezado"/>
      <w:jc w:val="right"/>
      <w:rPr>
        <w:noProof/>
        <w:lang w:val="es-ES" w:eastAsia="es-MX"/>
      </w:rPr>
    </w:pPr>
    <w:r>
      <w:rPr>
        <w:noProof/>
        <w:lang w:val="en-US" w:eastAsia="en-US"/>
      </w:rPr>
      <w:drawing>
        <wp:anchor distT="0" distB="0" distL="114300" distR="114300" simplePos="0" relativeHeight="251659264" behindDoc="1" locked="0" layoutInCell="1" allowOverlap="1" wp14:anchorId="0F6F5D14" wp14:editId="3E5288A1">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806" w:rsidRDefault="003641DE" w:rsidP="007B1178">
    <w:pPr>
      <w:pStyle w:val="Encabezado"/>
      <w:jc w:val="right"/>
      <w:rPr>
        <w:noProof/>
        <w:lang w:val="es-ES" w:eastAsia="es-MX"/>
      </w:rPr>
    </w:pPr>
  </w:p>
  <w:p w:rsidR="003A3806" w:rsidRDefault="003641DE" w:rsidP="007B1178">
    <w:pPr>
      <w:pStyle w:val="Encabezado"/>
      <w:jc w:val="right"/>
      <w:rPr>
        <w:noProof/>
        <w:lang w:val="es-ES" w:eastAsia="es-MX"/>
      </w:rPr>
    </w:pPr>
  </w:p>
  <w:p w:rsidR="003A3806" w:rsidRDefault="003641DE" w:rsidP="007B1178">
    <w:pPr>
      <w:pStyle w:val="Encabezado"/>
      <w:jc w:val="right"/>
      <w:rPr>
        <w:rFonts w:ascii="AvantGarde Bk BT" w:hAnsi="AvantGarde Bk BT"/>
        <w:noProof/>
        <w:lang w:val="es-ES" w:eastAsia="es-MX"/>
      </w:rPr>
    </w:pPr>
  </w:p>
  <w:p w:rsidR="003A3806" w:rsidRPr="00992A53" w:rsidRDefault="008A28CC" w:rsidP="007B1178">
    <w:pPr>
      <w:pStyle w:val="Encabezado"/>
      <w:jc w:val="right"/>
      <w:rPr>
        <w:rFonts w:ascii="AvantGarde Bk BT" w:hAnsi="AvantGarde Bk BT"/>
        <w:noProof/>
        <w:sz w:val="22"/>
        <w:szCs w:val="22"/>
        <w:lang w:val="es-ES" w:eastAsia="es-MX"/>
      </w:rPr>
    </w:pPr>
    <w:r w:rsidRPr="00992A53">
      <w:rPr>
        <w:rFonts w:ascii="AvantGarde Bk BT" w:hAnsi="AvantGarde Bk BT"/>
        <w:noProof/>
        <w:sz w:val="22"/>
        <w:szCs w:val="22"/>
        <w:lang w:val="es-ES" w:eastAsia="es-MX"/>
      </w:rPr>
      <w:t>Exp. 021</w:t>
    </w:r>
  </w:p>
  <w:p w:rsidR="003A3806" w:rsidRPr="004F4A03" w:rsidRDefault="008A28CC" w:rsidP="007B1178">
    <w:pPr>
      <w:pStyle w:val="Encabezado"/>
      <w:jc w:val="right"/>
      <w:rPr>
        <w:rFonts w:ascii="AvantGarde Bk BT" w:hAnsi="AvantGarde Bk BT"/>
        <w:color w:val="000000" w:themeColor="text1"/>
        <w:sz w:val="22"/>
        <w:szCs w:val="22"/>
        <w:lang w:val="es-ES"/>
      </w:rPr>
    </w:pPr>
    <w:r w:rsidRPr="004F4A03">
      <w:rPr>
        <w:rFonts w:ascii="AvantGarde Bk BT" w:hAnsi="AvantGarde Bk BT"/>
        <w:noProof/>
        <w:color w:val="000000" w:themeColor="text1"/>
        <w:sz w:val="22"/>
        <w:szCs w:val="22"/>
        <w:lang w:val="es-ES" w:eastAsia="es-MX"/>
      </w:rPr>
      <w:t>Dictamen Núm. I/2021/</w:t>
    </w:r>
    <w:r w:rsidR="00240D82">
      <w:rPr>
        <w:rFonts w:ascii="AvantGarde Bk BT" w:hAnsi="AvantGarde Bk BT"/>
        <w:noProof/>
        <w:color w:val="000000" w:themeColor="text1"/>
        <w:sz w:val="22"/>
        <w:szCs w:val="22"/>
        <w:lang w:val="es-ES" w:eastAsia="es-MX"/>
      </w:rPr>
      <w:t>497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651CC"/>
    <w:multiLevelType w:val="hybridMultilevel"/>
    <w:tmpl w:val="82FC61A2"/>
    <w:lvl w:ilvl="0" w:tplc="E7041210">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D669AB"/>
    <w:multiLevelType w:val="hybridMultilevel"/>
    <w:tmpl w:val="2C4A91A4"/>
    <w:lvl w:ilvl="0" w:tplc="C52A8C6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5C56C6"/>
    <w:multiLevelType w:val="hybridMultilevel"/>
    <w:tmpl w:val="C310E95A"/>
    <w:lvl w:ilvl="0" w:tplc="A7285B6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166F7D"/>
    <w:multiLevelType w:val="hybridMultilevel"/>
    <w:tmpl w:val="39F25448"/>
    <w:lvl w:ilvl="0" w:tplc="C86A30AC">
      <w:start w:val="1"/>
      <w:numFmt w:val="decimal"/>
      <w:lvlText w:val="%1."/>
      <w:lvlJc w:val="left"/>
      <w:pPr>
        <w:tabs>
          <w:tab w:val="num" w:pos="720"/>
        </w:tabs>
        <w:ind w:left="720" w:hanging="360"/>
      </w:pPr>
      <w:rPr>
        <w:rFonts w:cs="Times New Roman" w:hint="default"/>
        <w:color w:val="auto"/>
      </w:rPr>
    </w:lvl>
    <w:lvl w:ilvl="1" w:tplc="E78EB5E4">
      <w:start w:val="1"/>
      <w:numFmt w:val="lowerLetter"/>
      <w:lvlText w:val="%2."/>
      <w:lvlJc w:val="left"/>
      <w:pPr>
        <w:tabs>
          <w:tab w:val="num" w:pos="1440"/>
        </w:tabs>
        <w:ind w:left="1440" w:hanging="360"/>
      </w:pPr>
      <w:rPr>
        <w:rFonts w:cs="Times New Roman"/>
        <w:b/>
      </w:rPr>
    </w:lvl>
    <w:lvl w:ilvl="2" w:tplc="080A001B">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FB42CB"/>
    <w:multiLevelType w:val="hybridMultilevel"/>
    <w:tmpl w:val="05665BD2"/>
    <w:lvl w:ilvl="0" w:tplc="61440A8E">
      <w:start w:val="1"/>
      <w:numFmt w:val="decimal"/>
      <w:lvlText w:val="%1."/>
      <w:lvlJc w:val="left"/>
      <w:pPr>
        <w:ind w:left="720" w:hanging="360"/>
      </w:pPr>
      <w:rPr>
        <w:rFonts w:ascii="AvantGarde Bk BT" w:hAnsi="AvantGarde Bk BT" w:cs="Calibri" w:hint="default"/>
        <w:b/>
        <w:i w:val="0"/>
        <w:color w:val="auto"/>
        <w:sz w:val="22"/>
      </w:rPr>
    </w:lvl>
    <w:lvl w:ilvl="1" w:tplc="080A0013">
      <w:start w:val="1"/>
      <w:numFmt w:val="upperRoman"/>
      <w:lvlText w:val="%2."/>
      <w:lvlJc w:val="right"/>
      <w:pPr>
        <w:ind w:left="1440" w:hanging="360"/>
      </w:pPr>
      <w:rPr>
        <w:rFonts w:hint="default"/>
        <w:b/>
        <w:i w:val="0"/>
        <w:color w:val="auto"/>
        <w:sz w:val="20"/>
      </w:rPr>
    </w:lvl>
    <w:lvl w:ilvl="2" w:tplc="080A0001">
      <w:start w:val="1"/>
      <w:numFmt w:val="bullet"/>
      <w:lvlText w:val=""/>
      <w:lvlJc w:val="left"/>
      <w:pPr>
        <w:ind w:left="2700" w:hanging="720"/>
      </w:pPr>
      <w:rPr>
        <w:rFonts w:ascii="Symbol" w:hAnsi="Symbol" w:hint="default"/>
        <w:b/>
      </w:rPr>
    </w:lvl>
    <w:lvl w:ilvl="3" w:tplc="080A000F">
      <w:start w:val="1"/>
      <w:numFmt w:val="decimal"/>
      <w:lvlText w:val="%4."/>
      <w:lvlJc w:val="left"/>
      <w:pPr>
        <w:ind w:left="2880" w:hanging="360"/>
      </w:pPr>
    </w:lvl>
    <w:lvl w:ilvl="4" w:tplc="4F4442B2">
      <w:start w:val="1"/>
      <w:numFmt w:val="decimal"/>
      <w:lvlText w:val="%5)"/>
      <w:lvlJc w:val="left"/>
      <w:pPr>
        <w:ind w:left="3600" w:hanging="360"/>
      </w:pPr>
      <w:rPr>
        <w:rFonts w:hint="default"/>
      </w:rPr>
    </w:lvl>
    <w:lvl w:ilvl="5" w:tplc="1492916C">
      <w:start w:val="1"/>
      <w:numFmt w:val="bullet"/>
      <w:lvlText w:val="-"/>
      <w:lvlJc w:val="left"/>
      <w:pPr>
        <w:ind w:left="4500" w:hanging="360"/>
      </w:pPr>
      <w:rPr>
        <w:rFonts w:ascii="AvantGarde Bk BT" w:eastAsia="Times New Roman" w:hAnsi="AvantGarde Bk BT" w:cs="Times New Roman"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8A2E92"/>
    <w:multiLevelType w:val="hybridMultilevel"/>
    <w:tmpl w:val="8F7ADA70"/>
    <w:lvl w:ilvl="0" w:tplc="040A0001">
      <w:start w:val="1"/>
      <w:numFmt w:val="bullet"/>
      <w:lvlText w:val=""/>
      <w:lvlJc w:val="left"/>
      <w:pPr>
        <w:ind w:left="1440" w:hanging="360"/>
      </w:pPr>
      <w:rPr>
        <w:rFonts w:ascii="Symbol" w:hAnsi="Symbol"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03"/>
    <w:rsid w:val="00240D82"/>
    <w:rsid w:val="002806B0"/>
    <w:rsid w:val="0031206C"/>
    <w:rsid w:val="003641DE"/>
    <w:rsid w:val="004C0AD2"/>
    <w:rsid w:val="004F4A03"/>
    <w:rsid w:val="00537290"/>
    <w:rsid w:val="008A28CC"/>
    <w:rsid w:val="009C09DE"/>
    <w:rsid w:val="009E3C3E"/>
    <w:rsid w:val="00A43AA9"/>
    <w:rsid w:val="00AB1A55"/>
    <w:rsid w:val="00CE04C9"/>
    <w:rsid w:val="00D80170"/>
    <w:rsid w:val="00E02A1B"/>
    <w:rsid w:val="00E5243F"/>
    <w:rsid w:val="00F35647"/>
    <w:rsid w:val="00F81AB4"/>
    <w:rsid w:val="00FB07A0"/>
    <w:rsid w:val="00FB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5F82"/>
  <w15:chartTrackingRefBased/>
  <w15:docId w15:val="{9872272B-0C33-4E47-A253-A9C891F7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A03"/>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4A03"/>
    <w:pPr>
      <w:tabs>
        <w:tab w:val="center" w:pos="4419"/>
        <w:tab w:val="right" w:pos="8838"/>
      </w:tabs>
    </w:pPr>
  </w:style>
  <w:style w:type="character" w:customStyle="1" w:styleId="EncabezadoCar">
    <w:name w:val="Encabezado Car"/>
    <w:basedOn w:val="Fuentedeprrafopredeter"/>
    <w:link w:val="Encabezado"/>
    <w:uiPriority w:val="99"/>
    <w:rsid w:val="004F4A03"/>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4F4A03"/>
    <w:pPr>
      <w:tabs>
        <w:tab w:val="center" w:pos="4419"/>
        <w:tab w:val="right" w:pos="8838"/>
      </w:tabs>
    </w:pPr>
  </w:style>
  <w:style w:type="character" w:customStyle="1" w:styleId="PiedepginaCar">
    <w:name w:val="Pie de página Car"/>
    <w:basedOn w:val="Fuentedeprrafopredeter"/>
    <w:link w:val="Piedepgina"/>
    <w:uiPriority w:val="99"/>
    <w:rsid w:val="004F4A03"/>
    <w:rPr>
      <w:rFonts w:ascii="Times New Roman" w:eastAsia="Times New Roman" w:hAnsi="Times New Roman" w:cs="Times New Roman"/>
      <w:lang w:eastAsia="es-ES"/>
    </w:rPr>
  </w:style>
  <w:style w:type="paragraph" w:styleId="Sangra2detindependiente">
    <w:name w:val="Body Text Indent 2"/>
    <w:basedOn w:val="Normal"/>
    <w:link w:val="Sangra2detindependienteCar"/>
    <w:uiPriority w:val="99"/>
    <w:unhideWhenUsed/>
    <w:rsid w:val="004F4A03"/>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4F4A03"/>
    <w:rPr>
      <w:rFonts w:ascii="Times New Roman" w:eastAsia="Times New Roman" w:hAnsi="Times New Roman" w:cs="Times New Roman"/>
      <w:lang w:val="x-none" w:eastAsia="es-ES"/>
    </w:rPr>
  </w:style>
  <w:style w:type="paragraph" w:customStyle="1" w:styleId="Listavistosa-nfasis11">
    <w:name w:val="Lista vistosa - Énfasis 11"/>
    <w:basedOn w:val="Normal"/>
    <w:uiPriority w:val="34"/>
    <w:qFormat/>
    <w:rsid w:val="004F4A03"/>
    <w:pPr>
      <w:ind w:left="720"/>
      <w:contextualSpacing/>
    </w:pPr>
    <w:rPr>
      <w:lang w:val="en-US" w:eastAsia="en-US"/>
    </w:rPr>
  </w:style>
  <w:style w:type="paragraph" w:styleId="Prrafodelista">
    <w:name w:val="List Paragraph"/>
    <w:basedOn w:val="Normal"/>
    <w:uiPriority w:val="34"/>
    <w:qFormat/>
    <w:rsid w:val="004F4A03"/>
    <w:pPr>
      <w:ind w:left="708"/>
    </w:pPr>
  </w:style>
  <w:style w:type="character" w:styleId="Refdenotaalpie">
    <w:name w:val="footnote reference"/>
    <w:basedOn w:val="Fuentedeprrafopredeter"/>
    <w:uiPriority w:val="99"/>
    <w:semiHidden/>
    <w:unhideWhenUsed/>
    <w:rsid w:val="004F4A03"/>
    <w:rPr>
      <w:vertAlign w:val="superscript"/>
    </w:rPr>
  </w:style>
  <w:style w:type="paragraph" w:styleId="Textonotapie">
    <w:name w:val="footnote text"/>
    <w:basedOn w:val="Normal"/>
    <w:link w:val="TextonotapieCar"/>
    <w:uiPriority w:val="99"/>
    <w:semiHidden/>
    <w:unhideWhenUsed/>
    <w:rsid w:val="004F4A0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4A03"/>
    <w:rPr>
      <w:sz w:val="20"/>
      <w:szCs w:val="20"/>
    </w:rPr>
  </w:style>
  <w:style w:type="paragraph" w:styleId="Textodeglobo">
    <w:name w:val="Balloon Text"/>
    <w:basedOn w:val="Normal"/>
    <w:link w:val="TextodegloboCar"/>
    <w:uiPriority w:val="99"/>
    <w:semiHidden/>
    <w:unhideWhenUsed/>
    <w:rsid w:val="00CE04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4C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s.ud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la.facebook.com/PrensaUDG/videos/2849929241743019/" TargetMode="External"/><Relationship Id="rId1" Type="http://schemas.openxmlformats.org/officeDocument/2006/relationships/hyperlink" Target="https://es-la.facebook.com/hashtag/udeg?__eep__=6&amp;source=feed_text&amp;epa=HASHTAG&amp;__xts__%5B0%5D=68.ARDm3fPQ3_rpWEMvdODIdWG6w5Ny8RNRTHYS6JUhfVrkrYDQZ9njrGHei0BoOpfc_Ff0xt6TKU5FxHfFppugUAlzvkK4XcLHS0EbssiY8hvgasRPe8LHH_c7zdldDmWBlyz0BfrX_71pZ5WB905ldeJyT0WQEm28TiXuFS9meLxpgZ9ZFKOYq4dBIeWMNvaqT4z8dxDv4uOTV-nX_Gg4Cm7ykOaM8a9jYMDETRhSOK91UayMCCxLK8hN5Uryycc-Vm6Avai9z1XnesIyrYH5RRsj4jf4hqENlzjL0QCtgCmXzuCOuHYFA9R5NIGI5MDfgh946euG4UWLPHZ093q9HAOwC-_r60qPWbghRQ&amp;__tn__=%2AN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3120</Words>
  <Characters>17787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Usuario de Windows</cp:lastModifiedBy>
  <cp:revision>16</cp:revision>
  <cp:lastPrinted>2021-05-26T12:25:00Z</cp:lastPrinted>
  <dcterms:created xsi:type="dcterms:W3CDTF">2021-05-19T20:28:00Z</dcterms:created>
  <dcterms:modified xsi:type="dcterms:W3CDTF">2021-05-26T12:28:00Z</dcterms:modified>
</cp:coreProperties>
</file>