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062" w:rsidRPr="00052F55" w:rsidRDefault="00AF3062" w:rsidP="00AF3062">
      <w:pPr>
        <w:tabs>
          <w:tab w:val="left" w:pos="0"/>
        </w:tabs>
        <w:suppressAutoHyphens/>
        <w:jc w:val="both"/>
        <w:rPr>
          <w:rFonts w:ascii="AvantGarde Bk BT" w:hAnsi="AvantGarde Bk BT" w:cs="Arial"/>
          <w:b/>
          <w:color w:val="000000" w:themeColor="text1"/>
          <w:spacing w:val="-3"/>
          <w:sz w:val="22"/>
          <w:szCs w:val="22"/>
          <w:lang w:val="es-ES_tradnl"/>
        </w:rPr>
      </w:pPr>
    </w:p>
    <w:p w:rsidR="00AF3062" w:rsidRPr="00052F55" w:rsidRDefault="00AF3062" w:rsidP="00AF3062">
      <w:pPr>
        <w:tabs>
          <w:tab w:val="left" w:pos="0"/>
        </w:tabs>
        <w:suppressAutoHyphens/>
        <w:jc w:val="both"/>
        <w:rPr>
          <w:rFonts w:ascii="AvantGarde Bk BT" w:hAnsi="AvantGarde Bk BT" w:cs="Arial"/>
          <w:b/>
          <w:color w:val="000000" w:themeColor="text1"/>
          <w:spacing w:val="-3"/>
          <w:sz w:val="22"/>
          <w:szCs w:val="22"/>
          <w:lang w:val="es-ES_tradnl"/>
        </w:rPr>
      </w:pPr>
    </w:p>
    <w:p w:rsidR="00AF3062" w:rsidRPr="00052F55" w:rsidRDefault="00AF3062" w:rsidP="00AF3062">
      <w:pPr>
        <w:tabs>
          <w:tab w:val="left" w:pos="0"/>
        </w:tabs>
        <w:suppressAutoHyphens/>
        <w:jc w:val="both"/>
        <w:rPr>
          <w:rFonts w:ascii="AvantGarde Bk BT" w:hAnsi="AvantGarde Bk BT" w:cs="Arial"/>
          <w:b/>
          <w:color w:val="000000" w:themeColor="text1"/>
          <w:spacing w:val="-3"/>
          <w:sz w:val="22"/>
          <w:szCs w:val="22"/>
          <w:lang w:val="es-ES_tradnl"/>
        </w:rPr>
      </w:pPr>
      <w:r w:rsidRPr="00052F55">
        <w:rPr>
          <w:rFonts w:ascii="AvantGarde Bk BT" w:hAnsi="AvantGarde Bk BT" w:cs="Arial"/>
          <w:b/>
          <w:color w:val="000000" w:themeColor="text1"/>
          <w:spacing w:val="-3"/>
          <w:sz w:val="22"/>
          <w:szCs w:val="22"/>
          <w:lang w:val="es-ES_tradnl"/>
        </w:rPr>
        <w:t>H. CONSEJO GENERAL UNIVERSITARIO</w:t>
      </w:r>
    </w:p>
    <w:p w:rsidR="00AF3062" w:rsidRPr="00052F55" w:rsidRDefault="00AF3062" w:rsidP="00AF3062">
      <w:pPr>
        <w:tabs>
          <w:tab w:val="left" w:pos="0"/>
        </w:tabs>
        <w:suppressAutoHyphens/>
        <w:jc w:val="both"/>
        <w:rPr>
          <w:rFonts w:ascii="AvantGarde Bk BT" w:hAnsi="AvantGarde Bk BT" w:cs="Arial"/>
          <w:bCs/>
          <w:color w:val="000000" w:themeColor="text1"/>
          <w:spacing w:val="-3"/>
          <w:sz w:val="22"/>
          <w:szCs w:val="22"/>
          <w:lang w:val="es-ES_tradnl"/>
        </w:rPr>
      </w:pPr>
      <w:r w:rsidRPr="00052F55">
        <w:rPr>
          <w:rFonts w:ascii="AvantGarde Bk BT" w:hAnsi="AvantGarde Bk BT" w:cs="Arial"/>
          <w:bCs/>
          <w:color w:val="000000" w:themeColor="text1"/>
          <w:spacing w:val="-3"/>
          <w:sz w:val="22"/>
          <w:szCs w:val="22"/>
          <w:lang w:val="es-ES_tradnl"/>
        </w:rPr>
        <w:t>P R E S E N T E</w:t>
      </w:r>
    </w:p>
    <w:p w:rsidR="00AF3062" w:rsidRPr="00052F55" w:rsidRDefault="00AF3062" w:rsidP="00AF3062">
      <w:pPr>
        <w:tabs>
          <w:tab w:val="left" w:pos="0"/>
        </w:tabs>
        <w:suppressAutoHyphens/>
        <w:jc w:val="both"/>
        <w:rPr>
          <w:rFonts w:ascii="AvantGarde Bk BT" w:hAnsi="AvantGarde Bk BT" w:cs="Arial"/>
          <w:bCs/>
          <w:color w:val="000000" w:themeColor="text1"/>
          <w:spacing w:val="-3"/>
          <w:sz w:val="18"/>
          <w:szCs w:val="22"/>
          <w:lang w:val="es-ES_tradnl"/>
        </w:rPr>
      </w:pPr>
    </w:p>
    <w:p w:rsidR="00AF3062" w:rsidRPr="00052F55" w:rsidRDefault="00AF3062" w:rsidP="00AF3062">
      <w:pPr>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A estas </w:t>
      </w:r>
      <w:r w:rsidRPr="00052F55">
        <w:rPr>
          <w:rFonts w:ascii="AvantGarde Bk BT" w:hAnsi="AvantGarde Bk BT"/>
          <w:color w:val="000000" w:themeColor="text1"/>
          <w:sz w:val="22"/>
          <w:szCs w:val="22"/>
          <w:lang w:val="es-ES_tradnl"/>
        </w:rPr>
        <w:t xml:space="preserve">Comisiones Permanentes de Educación y de Normatividad, </w:t>
      </w:r>
      <w:r w:rsidRPr="00052F55">
        <w:rPr>
          <w:rFonts w:ascii="AvantGarde Bk BT" w:hAnsi="AvantGarde Bk BT" w:cs="Arial"/>
          <w:color w:val="000000" w:themeColor="text1"/>
          <w:sz w:val="22"/>
          <w:szCs w:val="22"/>
          <w:lang w:val="es-ES_tradnl"/>
        </w:rPr>
        <w:t xml:space="preserve">ha sido turnada, por el Rector General, una propuesta de dictamen mediante el cual </w:t>
      </w:r>
      <w:r w:rsidRPr="00052F55">
        <w:rPr>
          <w:rFonts w:ascii="AvantGarde Bk BT" w:hAnsi="AvantGarde Bk BT" w:cs="Arial"/>
          <w:b/>
          <w:bCs/>
          <w:color w:val="000000" w:themeColor="text1"/>
          <w:sz w:val="22"/>
          <w:szCs w:val="22"/>
          <w:lang w:val="es-ES"/>
        </w:rPr>
        <w:t xml:space="preserve">se modifica el </w:t>
      </w:r>
      <w:r w:rsidRPr="00052F55">
        <w:rPr>
          <w:rFonts w:ascii="AvantGarde Bk BT" w:hAnsi="AvantGarde Bk BT" w:cs="Arial"/>
          <w:b/>
          <w:color w:val="000000" w:themeColor="text1"/>
          <w:sz w:val="22"/>
          <w:szCs w:val="22"/>
          <w:lang w:val="es-ES_tradnl"/>
        </w:rPr>
        <w:t xml:space="preserve">resolutivo Segundo del Dictamen número I/2020/500, </w:t>
      </w:r>
      <w:r w:rsidRPr="00052F55">
        <w:rPr>
          <w:rFonts w:ascii="AvantGarde Bk BT" w:hAnsi="AvantGarde Bk BT" w:cs="Arial"/>
          <w:color w:val="000000" w:themeColor="text1"/>
          <w:sz w:val="22"/>
          <w:szCs w:val="22"/>
          <w:lang w:val="es-ES_tradnl"/>
        </w:rPr>
        <w:t xml:space="preserve">mediante el cual se </w:t>
      </w:r>
      <w:r w:rsidRPr="00052F55">
        <w:rPr>
          <w:rFonts w:ascii="AvantGarde Bk BT" w:hAnsi="AvantGarde Bk BT"/>
          <w:bCs/>
          <w:color w:val="000000" w:themeColor="text1"/>
          <w:sz w:val="22"/>
          <w:szCs w:val="22"/>
          <w:lang w:val="es-ES_tradnl"/>
        </w:rPr>
        <w:t xml:space="preserve">aprueba el </w:t>
      </w:r>
      <w:r w:rsidRPr="00052F55">
        <w:rPr>
          <w:rFonts w:ascii="AvantGarde Bk BT" w:hAnsi="AvantGarde Bk BT" w:cs="Arial"/>
          <w:color w:val="000000" w:themeColor="text1"/>
          <w:sz w:val="22"/>
          <w:szCs w:val="22"/>
          <w:lang w:val="es-ES"/>
        </w:rPr>
        <w:t xml:space="preserve">Programa Especial de Atención a Aspirantes de Primer Ingreso a la Universidad de Guadalajara en el ciclo escolar </w:t>
      </w:r>
      <w:r w:rsidRPr="00052F55">
        <w:rPr>
          <w:rFonts w:ascii="AvantGarde Bk BT" w:hAnsi="AvantGarde Bk BT" w:cs="Arial"/>
          <w:color w:val="000000" w:themeColor="text1"/>
          <w:sz w:val="22"/>
          <w:szCs w:val="22"/>
          <w:lang w:val="es-ES_tradnl"/>
        </w:rPr>
        <w:t xml:space="preserve">2021 “A”, </w:t>
      </w:r>
      <w:r w:rsidRPr="00052F55">
        <w:rPr>
          <w:rFonts w:ascii="AvantGarde Bk BT" w:hAnsi="AvantGarde Bk BT"/>
          <w:color w:val="000000" w:themeColor="text1"/>
          <w:sz w:val="22"/>
          <w:szCs w:val="22"/>
          <w:lang w:val="es-ES_tradnl"/>
        </w:rPr>
        <w:t xml:space="preserve">implementado para disminuir el impacto de la Pandemia de </w:t>
      </w:r>
      <w:proofErr w:type="spellStart"/>
      <w:r w:rsidRPr="00052F55">
        <w:rPr>
          <w:rFonts w:ascii="AvantGarde Bk BT" w:hAnsi="AvantGarde Bk BT"/>
          <w:color w:val="000000" w:themeColor="text1"/>
          <w:sz w:val="22"/>
          <w:szCs w:val="22"/>
          <w:lang w:val="es-ES_tradnl"/>
        </w:rPr>
        <w:t>Covid</w:t>
      </w:r>
      <w:proofErr w:type="spellEnd"/>
      <w:r w:rsidRPr="00052F55">
        <w:rPr>
          <w:rFonts w:ascii="AvantGarde Bk BT" w:hAnsi="AvantGarde Bk BT"/>
          <w:color w:val="000000" w:themeColor="text1"/>
          <w:sz w:val="22"/>
          <w:szCs w:val="22"/>
          <w:lang w:val="es-ES_tradnl"/>
        </w:rPr>
        <w:t xml:space="preserve">-19, </w:t>
      </w:r>
      <w:r w:rsidRPr="00052F55">
        <w:rPr>
          <w:rFonts w:ascii="AvantGarde Bk BT" w:hAnsi="AvantGarde Bk BT" w:cs="Arial"/>
          <w:color w:val="000000" w:themeColor="text1"/>
          <w:sz w:val="22"/>
          <w:szCs w:val="22"/>
          <w:lang w:val="es-ES_tradnl"/>
        </w:rPr>
        <w:t>conforme a los siguientes:</w:t>
      </w:r>
    </w:p>
    <w:p w:rsidR="00AF3062" w:rsidRPr="00052F55" w:rsidRDefault="00AF3062" w:rsidP="00AF3062">
      <w:pPr>
        <w:jc w:val="both"/>
        <w:rPr>
          <w:rFonts w:ascii="AvantGarde Bk BT" w:hAnsi="AvantGarde Bk BT" w:cs="Arial"/>
          <w:color w:val="000000" w:themeColor="text1"/>
          <w:sz w:val="18"/>
          <w:szCs w:val="22"/>
          <w:lang w:val="es-ES_tradnl"/>
        </w:rPr>
      </w:pPr>
    </w:p>
    <w:p w:rsidR="00AF3062" w:rsidRPr="00052F55" w:rsidRDefault="00AF3062" w:rsidP="00AF3062">
      <w:pPr>
        <w:ind w:right="-522"/>
        <w:jc w:val="center"/>
        <w:rPr>
          <w:rFonts w:ascii="AvantGarde Bk BT" w:hAnsi="AvantGarde Bk BT" w:cs="Arial"/>
          <w:b/>
          <w:color w:val="000000" w:themeColor="text1"/>
          <w:sz w:val="22"/>
          <w:szCs w:val="22"/>
          <w:lang w:val="es-ES_tradnl"/>
        </w:rPr>
      </w:pPr>
      <w:r w:rsidRPr="00052F55">
        <w:rPr>
          <w:rFonts w:ascii="AvantGarde Bk BT" w:hAnsi="AvantGarde Bk BT" w:cs="Arial"/>
          <w:b/>
          <w:color w:val="000000" w:themeColor="text1"/>
          <w:sz w:val="22"/>
          <w:szCs w:val="22"/>
          <w:lang w:val="es-ES_tradnl"/>
        </w:rPr>
        <w:t>ANTECEDENTES</w:t>
      </w:r>
    </w:p>
    <w:p w:rsidR="00AF3062" w:rsidRPr="00052F55" w:rsidRDefault="00AF3062" w:rsidP="00AF3062">
      <w:pPr>
        <w:ind w:right="51"/>
        <w:jc w:val="both"/>
        <w:rPr>
          <w:rFonts w:ascii="AvantGarde Bk BT" w:hAnsi="AvantGarde Bk BT" w:cs="Arial"/>
          <w:color w:val="000000" w:themeColor="text1"/>
          <w:sz w:val="18"/>
          <w:szCs w:val="22"/>
          <w:lang w:val="es-ES_tradnl"/>
        </w:rPr>
      </w:pPr>
    </w:p>
    <w:p w:rsidR="00AF3062" w:rsidRPr="00052F55" w:rsidRDefault="00AF3062" w:rsidP="00AF3062">
      <w:pPr>
        <w:ind w:right="51"/>
        <w:jc w:val="both"/>
        <w:rPr>
          <w:rFonts w:ascii="AvantGarde Bk BT" w:hAnsi="AvantGarde Bk BT" w:cs="Arial"/>
          <w:b/>
          <w:bCs/>
          <w:color w:val="000000" w:themeColor="text1"/>
          <w:sz w:val="22"/>
          <w:szCs w:val="32"/>
          <w:lang w:val="es-ES_tradnl"/>
        </w:rPr>
      </w:pPr>
      <w:r w:rsidRPr="00052F55">
        <w:rPr>
          <w:rFonts w:ascii="AvantGarde Bk BT" w:hAnsi="AvantGarde Bk BT" w:cs="Arial"/>
          <w:b/>
          <w:bCs/>
          <w:color w:val="000000" w:themeColor="text1"/>
          <w:sz w:val="22"/>
          <w:szCs w:val="32"/>
          <w:lang w:val="es-ES_tradnl"/>
        </w:rPr>
        <w:t xml:space="preserve">A. DE LOS DERECHOS HUMANOS </w:t>
      </w:r>
    </w:p>
    <w:p w:rsidR="00AF3062" w:rsidRPr="00052F55" w:rsidRDefault="00AF3062" w:rsidP="00AF3062">
      <w:pPr>
        <w:ind w:right="51"/>
        <w:jc w:val="both"/>
        <w:rPr>
          <w:rFonts w:ascii="AvantGarde Bk BT" w:hAnsi="AvantGarde Bk BT" w:cs="Arial"/>
          <w:color w:val="000000" w:themeColor="text1"/>
          <w:sz w:val="18"/>
          <w:szCs w:val="22"/>
          <w:lang w:val="es-ES_tradnl"/>
        </w:rPr>
      </w:pPr>
    </w:p>
    <w:p w:rsidR="00AF3062" w:rsidRPr="00052F55" w:rsidRDefault="00AF3062" w:rsidP="00AF3062">
      <w:pPr>
        <w:pStyle w:val="Prrafodelista"/>
        <w:numPr>
          <w:ilvl w:val="0"/>
          <w:numId w:val="3"/>
        </w:numPr>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De conformidad con el artículo 1° de la Constitución Política de los Estados Unidos Mexicanos (</w:t>
      </w:r>
      <w:proofErr w:type="spellStart"/>
      <w:r w:rsidRPr="00052F55">
        <w:rPr>
          <w:rFonts w:ascii="AvantGarde Bk BT" w:hAnsi="AvantGarde Bk BT" w:cs="Arial"/>
          <w:bCs/>
          <w:color w:val="000000" w:themeColor="text1"/>
          <w:sz w:val="22"/>
          <w:szCs w:val="22"/>
          <w:lang w:val="es-ES_tradnl"/>
        </w:rPr>
        <w:t>CPEUM</w:t>
      </w:r>
      <w:proofErr w:type="spellEnd"/>
      <w:r w:rsidRPr="00052F55">
        <w:rPr>
          <w:rFonts w:ascii="AvantGarde Bk BT" w:hAnsi="AvantGarde Bk BT" w:cs="Arial"/>
          <w:bCs/>
          <w:color w:val="000000" w:themeColor="text1"/>
          <w:sz w:val="22"/>
          <w:szCs w:val="22"/>
          <w:lang w:val="es-ES_tradnl"/>
        </w:rPr>
        <w:t xml:space="preserve">), todas las personas gozan de los derechos humanos reconocidos en la Constitución y en los tratados internacionales de los que el Estado Mexicano sea parte, así como de las garantías para su protección, cuyo ejercicio no puede restringirse ni suspenderse, salvo en los casos y bajo las condiciones que la propia Constitución establece. </w:t>
      </w:r>
    </w:p>
    <w:p w:rsidR="00AF3062" w:rsidRPr="00052F55" w:rsidRDefault="00AF3062" w:rsidP="00AF3062">
      <w:pPr>
        <w:pStyle w:val="Prrafodelista"/>
        <w:ind w:left="360"/>
        <w:jc w:val="both"/>
        <w:rPr>
          <w:rFonts w:ascii="AvantGarde Bk BT" w:hAnsi="AvantGarde Bk BT" w:cs="Arial"/>
          <w:bCs/>
          <w:color w:val="000000" w:themeColor="text1"/>
          <w:sz w:val="22"/>
          <w:szCs w:val="22"/>
          <w:lang w:val="es-ES_tradnl"/>
        </w:rPr>
      </w:pPr>
    </w:p>
    <w:p w:rsidR="00AF3062" w:rsidRPr="00052F55" w:rsidRDefault="00AF3062" w:rsidP="00AF3062">
      <w:pPr>
        <w:pStyle w:val="Prrafodelista"/>
        <w:ind w:left="360"/>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Las normas relativas a los derechos humanos se deben interpretar conforme con la Constitución y los tratados internacionales de la materia, favoreciendo en todo tiempo a las personas la protección más amplia. </w:t>
      </w:r>
    </w:p>
    <w:p w:rsidR="00AF3062" w:rsidRPr="00052F55" w:rsidRDefault="00AF3062" w:rsidP="00AF3062">
      <w:pPr>
        <w:pStyle w:val="Prrafodelista"/>
        <w:ind w:left="360"/>
        <w:jc w:val="both"/>
        <w:rPr>
          <w:rFonts w:ascii="AvantGarde Bk BT" w:hAnsi="AvantGarde Bk BT" w:cs="Arial"/>
          <w:bCs/>
          <w:color w:val="000000" w:themeColor="text1"/>
          <w:sz w:val="22"/>
          <w:szCs w:val="22"/>
          <w:lang w:val="es-ES_tradnl"/>
        </w:rPr>
      </w:pPr>
    </w:p>
    <w:p w:rsidR="00AF3062" w:rsidRPr="00052F55" w:rsidRDefault="00AF3062" w:rsidP="00AF3062">
      <w:pPr>
        <w:pStyle w:val="Prrafodelista"/>
        <w:ind w:left="360"/>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Todas las autoridades, en el ámbito de sus competencias, tienen la obligación de promover, respetar, proteger y garantizar los derechos humanos, de conformidad con los principios de universalidad, interdependencia, indivisibilidad y progresividad.</w:t>
      </w:r>
    </w:p>
    <w:p w:rsidR="00AF3062" w:rsidRPr="00052F55" w:rsidRDefault="00AF3062" w:rsidP="00AF3062">
      <w:pPr>
        <w:ind w:right="51"/>
        <w:jc w:val="both"/>
        <w:rPr>
          <w:rFonts w:ascii="AvantGarde Bk BT" w:hAnsi="AvantGarde Bk BT" w:cs="Arial"/>
          <w:color w:val="000000" w:themeColor="text1"/>
          <w:sz w:val="18"/>
          <w:szCs w:val="22"/>
          <w:lang w:val="es-ES_tradnl"/>
        </w:rPr>
      </w:pPr>
    </w:p>
    <w:p w:rsidR="00AF3062" w:rsidRPr="00052F55" w:rsidRDefault="00AF3062" w:rsidP="00AF3062">
      <w:pPr>
        <w:ind w:right="51"/>
        <w:jc w:val="both"/>
        <w:rPr>
          <w:rFonts w:ascii="AvantGarde Bk BT" w:hAnsi="AvantGarde Bk BT" w:cs="Arial"/>
          <w:b/>
          <w:bCs/>
          <w:color w:val="000000" w:themeColor="text1"/>
          <w:sz w:val="22"/>
          <w:szCs w:val="32"/>
          <w:lang w:val="es-ES_tradnl"/>
        </w:rPr>
      </w:pPr>
      <w:r w:rsidRPr="00052F55">
        <w:rPr>
          <w:rFonts w:ascii="AvantGarde Bk BT" w:hAnsi="AvantGarde Bk BT" w:cs="Arial"/>
          <w:b/>
          <w:bCs/>
          <w:color w:val="000000" w:themeColor="text1"/>
          <w:sz w:val="22"/>
          <w:szCs w:val="32"/>
          <w:lang w:val="es-ES_tradnl"/>
        </w:rPr>
        <w:t>B. DERECHO A LA VIDA Y DERECHO A LA SALUD</w:t>
      </w:r>
    </w:p>
    <w:p w:rsidR="00AF3062" w:rsidRPr="00052F55" w:rsidRDefault="00AF3062" w:rsidP="00AF3062">
      <w:pPr>
        <w:ind w:right="51"/>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ind w:left="357"/>
        <w:jc w:val="both"/>
        <w:rPr>
          <w:rFonts w:ascii="AvantGarde Bk BT" w:hAnsi="AvantGarde Bk BT" w:cs="Arial"/>
          <w:color w:val="000000" w:themeColor="text1"/>
          <w:sz w:val="22"/>
          <w:szCs w:val="22"/>
          <w:lang w:val="es-ES_tradnl"/>
        </w:rPr>
      </w:pPr>
      <w:r w:rsidRPr="00052F55">
        <w:rPr>
          <w:rFonts w:ascii="AvantGarde Bk BT" w:hAnsi="AvantGarde Bk BT" w:cs="Arial"/>
          <w:bCs/>
          <w:color w:val="000000" w:themeColor="text1"/>
          <w:sz w:val="22"/>
          <w:szCs w:val="22"/>
          <w:lang w:val="es-ES_tradnl"/>
        </w:rPr>
        <w:t>De acuerdo con el artículo 4, numeral 1, de la Convención Americana sobre Derechos Humanos, toda persona tiene derecho a que se respete su vida.</w:t>
      </w:r>
    </w:p>
    <w:p w:rsidR="00AF3062" w:rsidRPr="00052F55" w:rsidRDefault="00AF3062" w:rsidP="00AF3062">
      <w:pPr>
        <w:pStyle w:val="Prrafodelista"/>
        <w:ind w:left="357"/>
        <w:jc w:val="both"/>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ind w:left="357"/>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Según la Corte Interamericana de Derechos Humanos (</w:t>
      </w:r>
      <w:proofErr w:type="spellStart"/>
      <w:r w:rsidRPr="00052F55">
        <w:rPr>
          <w:rFonts w:ascii="AvantGarde Bk BT" w:hAnsi="AvantGarde Bk BT" w:cs="Arial"/>
          <w:bCs/>
          <w:color w:val="000000" w:themeColor="text1"/>
          <w:sz w:val="22"/>
          <w:szCs w:val="22"/>
          <w:lang w:val="es-ES_tradnl"/>
        </w:rPr>
        <w:t>CoIDH</w:t>
      </w:r>
      <w:proofErr w:type="spellEnd"/>
      <w:r w:rsidRPr="00052F55">
        <w:rPr>
          <w:rFonts w:ascii="AvantGarde Bk BT" w:hAnsi="AvantGarde Bk BT" w:cs="Arial"/>
          <w:bCs/>
          <w:color w:val="000000" w:themeColor="text1"/>
          <w:sz w:val="22"/>
          <w:szCs w:val="22"/>
          <w:lang w:val="es-ES_tradnl"/>
        </w:rPr>
        <w:t>), el derecho a la vida es un derecho humano fundamental, cuyo goce es un prerrequisito para el disfrute de todos los demás derechos humanos. De no ser respetado, todos los derechos carecen de sentido, por lo que no son admisibles enfoques restrictivos del mismo.</w:t>
      </w:r>
      <w:r w:rsidRPr="00052F55">
        <w:rPr>
          <w:rStyle w:val="Refdenotaalpie"/>
          <w:rFonts w:ascii="AvantGarde Bk BT" w:hAnsi="AvantGarde Bk BT" w:cs="Arial"/>
          <w:bCs/>
          <w:color w:val="000000" w:themeColor="text1"/>
          <w:sz w:val="22"/>
          <w:szCs w:val="22"/>
          <w:lang w:val="es-ES_tradnl"/>
        </w:rPr>
        <w:footnoteReference w:id="1"/>
      </w:r>
    </w:p>
    <w:p w:rsidR="00AF3062" w:rsidRPr="00052F55" w:rsidRDefault="00AF3062" w:rsidP="00AF3062">
      <w:pPr>
        <w:rPr>
          <w:rFonts w:ascii="AvantGarde Bk BT" w:hAnsi="AvantGarde Bk BT" w:cs="Arial"/>
          <w:bCs/>
          <w:color w:val="000000" w:themeColor="text1"/>
          <w:sz w:val="22"/>
          <w:szCs w:val="22"/>
          <w:lang w:val="es-ES_tradnl" w:eastAsia="es-ES"/>
        </w:rPr>
      </w:pPr>
      <w:r w:rsidRPr="00052F55">
        <w:rPr>
          <w:rFonts w:ascii="AvantGarde Bk BT" w:hAnsi="AvantGarde Bk BT" w:cs="Arial"/>
          <w:bCs/>
          <w:color w:val="000000" w:themeColor="text1"/>
          <w:sz w:val="22"/>
          <w:szCs w:val="22"/>
          <w:lang w:val="es-ES_tradnl"/>
        </w:rPr>
        <w:br w:type="page"/>
      </w:r>
    </w:p>
    <w:p w:rsidR="00AF3062" w:rsidRPr="00710285" w:rsidRDefault="00AF3062" w:rsidP="00710285">
      <w:pPr>
        <w:jc w:val="both"/>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De igual forma, la </w:t>
      </w:r>
      <w:proofErr w:type="spellStart"/>
      <w:r w:rsidRPr="00052F55">
        <w:rPr>
          <w:rFonts w:ascii="AvantGarde Bk BT" w:hAnsi="AvantGarde Bk BT" w:cs="Arial"/>
          <w:bCs/>
          <w:color w:val="000000" w:themeColor="text1"/>
          <w:sz w:val="22"/>
          <w:szCs w:val="22"/>
          <w:lang w:val="es-ES_tradnl"/>
        </w:rPr>
        <w:t>CoIDH</w:t>
      </w:r>
      <w:proofErr w:type="spellEnd"/>
      <w:r w:rsidRPr="00052F55">
        <w:rPr>
          <w:rFonts w:ascii="AvantGarde Bk BT" w:hAnsi="AvantGarde Bk BT" w:cs="Arial"/>
          <w:bCs/>
          <w:color w:val="000000" w:themeColor="text1"/>
          <w:sz w:val="22"/>
          <w:szCs w:val="22"/>
          <w:lang w:val="es-ES_tradnl"/>
        </w:rPr>
        <w:t xml:space="preserve"> ha determinado en diversas ocasiones que la protección del derecho fundamental a la vida implica que las autoridades, en una situación de riesgo real e inminente para la vida de un individuo o grupo de individuos determinados, adopten las medidas necesarias dentro del ámbito de sus atribuciones que, juzgadas razonablemente, puedan esperarse para prevenir o evitar ese riesgo.</w:t>
      </w:r>
      <w:r w:rsidRPr="00052F55">
        <w:rPr>
          <w:rStyle w:val="Refdenotaalpie"/>
          <w:rFonts w:ascii="AvantGarde Bk BT" w:hAnsi="AvantGarde Bk BT" w:cs="Arial"/>
          <w:bCs/>
          <w:color w:val="000000" w:themeColor="text1"/>
          <w:sz w:val="22"/>
          <w:szCs w:val="22"/>
          <w:lang w:val="es-ES_tradnl"/>
        </w:rPr>
        <w:footnoteReference w:id="2"/>
      </w:r>
      <w:r w:rsidRPr="00052F55">
        <w:rPr>
          <w:rFonts w:ascii="AvantGarde Bk BT" w:hAnsi="AvantGarde Bk BT" w:cs="Arial"/>
          <w:bCs/>
          <w:color w:val="000000" w:themeColor="text1"/>
          <w:sz w:val="22"/>
          <w:szCs w:val="22"/>
          <w:lang w:val="es-ES_tradnl"/>
        </w:rPr>
        <w:t xml:space="preserve"> </w:t>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este orden de ideas, la </w:t>
      </w:r>
      <w:proofErr w:type="spellStart"/>
      <w:r w:rsidRPr="00052F55">
        <w:rPr>
          <w:rFonts w:ascii="AvantGarde Bk BT" w:hAnsi="AvantGarde Bk BT" w:cs="Arial"/>
          <w:bCs/>
          <w:color w:val="000000" w:themeColor="text1"/>
          <w:sz w:val="22"/>
          <w:szCs w:val="22"/>
          <w:lang w:val="es-ES_tradnl"/>
        </w:rPr>
        <w:t>CoIDH</w:t>
      </w:r>
      <w:proofErr w:type="spellEnd"/>
      <w:r w:rsidRPr="00052F55">
        <w:rPr>
          <w:rFonts w:ascii="AvantGarde Bk BT" w:hAnsi="AvantGarde Bk BT" w:cs="Arial"/>
          <w:bCs/>
          <w:color w:val="000000" w:themeColor="text1"/>
          <w:sz w:val="22"/>
          <w:szCs w:val="22"/>
          <w:lang w:val="es-ES_tradnl"/>
        </w:rPr>
        <w:t xml:space="preserve"> ha señalado que los Estados tienen que adoptar medidas positivas a fin de garantizar la efectividad del derecho fundamental a la vida, pues el deber de asegurar a toda persona sujeta a su jurisdicción la inviolabilidad de la vida y el derecho a no ser privada de ella arbitrariamente, "implica la prevención razonable de situaciones que puedan redundar en la supresión de ese derecho".</w:t>
      </w:r>
      <w:r w:rsidRPr="00052F55">
        <w:rPr>
          <w:rStyle w:val="Refdenotaalpie"/>
          <w:rFonts w:ascii="AvantGarde Bk BT" w:hAnsi="AvantGarde Bk BT" w:cs="Arial"/>
          <w:bCs/>
          <w:color w:val="000000" w:themeColor="text1"/>
          <w:sz w:val="22"/>
          <w:szCs w:val="22"/>
          <w:lang w:val="es-ES_tradnl"/>
        </w:rPr>
        <w:footnoteReference w:id="3"/>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De acuerdo con la Primera Sala de la Suprema Corte de Justicia de la Nación (</w:t>
      </w:r>
      <w:proofErr w:type="spellStart"/>
      <w:r w:rsidRPr="00052F55">
        <w:rPr>
          <w:rFonts w:ascii="AvantGarde Bk BT" w:hAnsi="AvantGarde Bk BT" w:cs="Arial"/>
          <w:bCs/>
          <w:color w:val="000000" w:themeColor="text1"/>
          <w:sz w:val="22"/>
          <w:szCs w:val="22"/>
          <w:lang w:val="es-ES_tradnl"/>
        </w:rPr>
        <w:t>SCJN</w:t>
      </w:r>
      <w:proofErr w:type="spellEnd"/>
      <w:r w:rsidRPr="00052F55">
        <w:rPr>
          <w:rFonts w:ascii="AvantGarde Bk BT" w:hAnsi="AvantGarde Bk BT" w:cs="Arial"/>
          <w:bCs/>
          <w:color w:val="000000" w:themeColor="text1"/>
          <w:sz w:val="22"/>
          <w:szCs w:val="22"/>
          <w:lang w:val="es-ES_tradnl"/>
        </w:rPr>
        <w:t>), el riesgo se configura normalmente como una situación en la que la ocurrencia de un evento hace más probable la ocurrencia de otro, de modo que el riesgo de que se produzca este segundo evento aumenta cuando se produce el primero.</w:t>
      </w:r>
      <w:r w:rsidRPr="00052F55">
        <w:rPr>
          <w:rStyle w:val="Refdenotaalpie"/>
          <w:rFonts w:ascii="AvantGarde Bk BT" w:hAnsi="AvantGarde Bk BT" w:cs="Arial"/>
          <w:bCs/>
          <w:color w:val="000000" w:themeColor="text1"/>
          <w:sz w:val="22"/>
          <w:szCs w:val="22"/>
          <w:lang w:val="es-ES_tradnl"/>
        </w:rPr>
        <w:footnoteReference w:id="4"/>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De igual forma, es importante señalar que, en términos de lo previsto por el artículo 25 de la Declaración Universal de los Derechos Humanos, toda persona tiene derecho a un nivel de vida adecuado que le asegure, así como a su familia, entre otros aspectos, la salud, el bienestar, la asistencia médica y los servicios sociales necesarios.</w:t>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Asimismo, según lo establecido por el artículo 12 del Pacto Internacional de Derechos Económicos, Sociales y Culturales, toda persona tiene el derecho al disfrute del más alto nivel posible de salud física y mental, y con el fin de asegurar la plena efectividad de este derecho, los Estados figurarán las medidas necesarias para la prevención y el tratamiento de las enfermedades epidémicas. </w:t>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este sentido, de acuerdo con el cuarto párrafo del artículo 4 de la </w:t>
      </w:r>
      <w:proofErr w:type="spellStart"/>
      <w:r w:rsidRPr="00052F55">
        <w:rPr>
          <w:rFonts w:ascii="AvantGarde Bk BT" w:hAnsi="AvantGarde Bk BT" w:cs="Arial"/>
          <w:bCs/>
          <w:color w:val="000000" w:themeColor="text1"/>
          <w:sz w:val="22"/>
          <w:szCs w:val="22"/>
          <w:lang w:val="es-ES_tradnl"/>
        </w:rPr>
        <w:t>CPEUM</w:t>
      </w:r>
      <w:proofErr w:type="spellEnd"/>
      <w:r w:rsidRPr="00052F55">
        <w:rPr>
          <w:rFonts w:ascii="AvantGarde Bk BT" w:hAnsi="AvantGarde Bk BT" w:cs="Arial"/>
          <w:bCs/>
          <w:color w:val="000000" w:themeColor="text1"/>
          <w:sz w:val="22"/>
          <w:szCs w:val="22"/>
          <w:lang w:val="es-ES_tradnl"/>
        </w:rPr>
        <w:t xml:space="preserve">, </w:t>
      </w:r>
      <w:r w:rsidRPr="00052F55">
        <w:rPr>
          <w:rFonts w:ascii="AvantGarde Bk BT" w:hAnsi="AvantGarde Bk BT" w:cs="Arial"/>
          <w:bCs/>
          <w:color w:val="000000" w:themeColor="text1"/>
          <w:sz w:val="22"/>
          <w:lang w:val="es-ES_tradnl"/>
        </w:rPr>
        <w:t>toda persona tiene derecho a la protección de la salud.</w:t>
      </w:r>
    </w:p>
    <w:p w:rsidR="00AF3062" w:rsidRPr="00052F55" w:rsidRDefault="00AF3062" w:rsidP="00AF3062">
      <w:pPr>
        <w:rPr>
          <w:rFonts w:ascii="AvantGarde Bk BT" w:hAnsi="AvantGarde Bk BT" w:cs="Arial"/>
          <w:bCs/>
          <w:color w:val="000000" w:themeColor="text1"/>
          <w:sz w:val="22"/>
          <w:szCs w:val="22"/>
          <w:lang w:val="es-ES_tradnl" w:eastAsia="es-ES"/>
        </w:rPr>
      </w:pPr>
      <w:r w:rsidRPr="00052F55">
        <w:rPr>
          <w:rFonts w:ascii="AvantGarde Bk BT" w:hAnsi="AvantGarde Bk BT" w:cs="Arial"/>
          <w:bCs/>
          <w:color w:val="000000" w:themeColor="text1"/>
          <w:sz w:val="22"/>
          <w:szCs w:val="22"/>
          <w:lang w:val="es-ES_tradnl"/>
        </w:rPr>
        <w:br w:type="page"/>
      </w:r>
    </w:p>
    <w:p w:rsidR="00AF3062" w:rsidRPr="00710285" w:rsidRDefault="00AF3062" w:rsidP="00710285">
      <w:pPr>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Dicho derecho de protección a la salud, según la </w:t>
      </w:r>
      <w:proofErr w:type="spellStart"/>
      <w:r w:rsidRPr="00052F55">
        <w:rPr>
          <w:rFonts w:ascii="AvantGarde Bk BT" w:hAnsi="AvantGarde Bk BT" w:cs="Arial"/>
          <w:bCs/>
          <w:color w:val="000000" w:themeColor="text1"/>
          <w:sz w:val="22"/>
          <w:szCs w:val="22"/>
          <w:lang w:val="es-ES_tradnl"/>
        </w:rPr>
        <w:t>SCJN</w:t>
      </w:r>
      <w:proofErr w:type="spellEnd"/>
      <w:r w:rsidRPr="00052F55">
        <w:rPr>
          <w:rFonts w:ascii="AvantGarde Bk BT" w:hAnsi="AvantGarde Bk BT" w:cs="Arial"/>
          <w:bCs/>
          <w:color w:val="000000" w:themeColor="text1"/>
          <w:sz w:val="22"/>
          <w:szCs w:val="22"/>
          <w:lang w:val="es-ES_tradnl"/>
        </w:rPr>
        <w:t>, tiene una dimensión individual que se traduce en la obtención de un determinado bienestar general, integrado por el estado físico, mental, emocional y social de la persona, así como una dimensión social o pública que consiste en el deber del Estado de atender los problemas de salud que afectan a la sociedad en general, así como en establecer los mecanismos necesarios para que todas las personas tengan acceso a los servicios de salud.</w:t>
      </w:r>
      <w:r w:rsidRPr="00052F55">
        <w:rPr>
          <w:rFonts w:ascii="AvantGarde Bk BT" w:hAnsi="AvantGarde Bk BT" w:cs="Arial"/>
          <w:bCs/>
          <w:color w:val="000000" w:themeColor="text1"/>
          <w:sz w:val="22"/>
          <w:szCs w:val="22"/>
          <w:vertAlign w:val="superscript"/>
          <w:lang w:val="es-ES_tradnl"/>
        </w:rPr>
        <w:footnoteReference w:id="5"/>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En relación con lo anterior, la Comisión Interamericana de Derechos Humanos (CIDH) determinó que las medidas adoptadas por los Estados en la atención y contención de la pandemia, deben tener como centro el pleno respeto de los derechos humanos.</w:t>
      </w:r>
      <w:r w:rsidRPr="00052F55">
        <w:rPr>
          <w:rFonts w:ascii="AvantGarde Bk BT" w:hAnsi="AvantGarde Bk BT" w:cs="Arial"/>
          <w:bCs/>
          <w:color w:val="000000" w:themeColor="text1"/>
          <w:sz w:val="22"/>
          <w:szCs w:val="22"/>
          <w:vertAlign w:val="superscript"/>
          <w:lang w:val="es-ES_tradnl"/>
        </w:rPr>
        <w:footnoteReference w:id="6"/>
      </w:r>
    </w:p>
    <w:p w:rsidR="00AF3062" w:rsidRPr="00052F55" w:rsidRDefault="00AF3062" w:rsidP="00AF3062">
      <w:pPr>
        <w:pStyle w:val="Prrafodelista"/>
        <w:ind w:left="709"/>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Además, la CIDH delimitó que, ante las circunstancias actuales de la pandemia por </w:t>
      </w:r>
      <w:proofErr w:type="spellStart"/>
      <w:r w:rsidRPr="00052F55">
        <w:rPr>
          <w:rFonts w:ascii="AvantGarde Bk BT" w:hAnsi="AvantGarde Bk BT" w:cs="Arial"/>
          <w:bCs/>
          <w:color w:val="000000" w:themeColor="text1"/>
          <w:sz w:val="22"/>
          <w:szCs w:val="22"/>
          <w:lang w:val="es-ES_tradnl"/>
        </w:rPr>
        <w:t>COVID</w:t>
      </w:r>
      <w:proofErr w:type="spellEnd"/>
      <w:r w:rsidRPr="00052F55">
        <w:rPr>
          <w:rFonts w:ascii="AvantGarde Bk BT" w:hAnsi="AvantGarde Bk BT" w:cs="Arial"/>
          <w:bCs/>
          <w:color w:val="000000" w:themeColor="text1"/>
          <w:sz w:val="22"/>
          <w:szCs w:val="22"/>
          <w:lang w:val="es-ES_tradnl"/>
        </w:rPr>
        <w:t xml:space="preserve">-19, los Estados miembros deben adoptar medidas de manera diligente para prevenir la ocurrencia de afectaciones al derecho a la salud, la integridad personal y la vida. </w:t>
      </w:r>
      <w:r w:rsidRPr="00052F55">
        <w:rPr>
          <w:rFonts w:ascii="AvantGarde Bk BT" w:hAnsi="AvantGarde Bk BT" w:cs="Arial"/>
          <w:b/>
          <w:color w:val="000000" w:themeColor="text1"/>
          <w:sz w:val="22"/>
          <w:szCs w:val="22"/>
          <w:lang w:val="es-ES_tradnl"/>
        </w:rPr>
        <w:t xml:space="preserve">Tales medidas deben estar enfocadas de manera prioritaria a prevenir los contagios </w:t>
      </w:r>
      <w:r w:rsidRPr="00052F55">
        <w:rPr>
          <w:rFonts w:ascii="AvantGarde Bk BT" w:hAnsi="AvantGarde Bk BT" w:cs="Arial"/>
          <w:bCs/>
          <w:color w:val="000000" w:themeColor="text1"/>
          <w:sz w:val="22"/>
          <w:szCs w:val="22"/>
          <w:lang w:val="es-ES_tradnl"/>
        </w:rPr>
        <w:t>y brindar un tratamiento médico adecuado a las personas que lo requieran</w:t>
      </w:r>
      <w:r w:rsidRPr="00052F55">
        <w:rPr>
          <w:rFonts w:ascii="AvantGarde Bk BT" w:hAnsi="AvantGarde Bk BT" w:cs="Arial"/>
          <w:b/>
          <w:color w:val="000000" w:themeColor="text1"/>
          <w:sz w:val="22"/>
          <w:szCs w:val="22"/>
          <w:lang w:val="es-ES_tradnl"/>
        </w:rPr>
        <w:t>; también deberán garantizar que las medidas adoptadas para enfrentar las pandemias y sus consecuencias incorporen de manera prioritaria el contenido del derecho humano a la salud y sus determinantes básicos y sociales.</w:t>
      </w:r>
      <w:r w:rsidRPr="00052F55">
        <w:rPr>
          <w:rFonts w:ascii="AvantGarde Bk BT" w:hAnsi="AvantGarde Bk BT" w:cs="Arial"/>
          <w:bCs/>
          <w:color w:val="000000" w:themeColor="text1"/>
          <w:sz w:val="22"/>
          <w:szCs w:val="22"/>
          <w:vertAlign w:val="superscript"/>
          <w:lang w:val="es-ES_tradnl"/>
        </w:rPr>
        <w:footnoteReference w:id="7"/>
      </w:r>
    </w:p>
    <w:p w:rsidR="00AF3062" w:rsidRPr="00052F55" w:rsidRDefault="00AF3062" w:rsidP="00AF3062">
      <w:pPr>
        <w:pStyle w:val="Prrafodelista"/>
        <w:ind w:left="709"/>
        <w:rPr>
          <w:rFonts w:ascii="AvantGarde Bk BT" w:hAnsi="AvantGarde Bk BT" w:cs="Arial"/>
          <w:bCs/>
          <w:color w:val="000000" w:themeColor="text1"/>
          <w:sz w:val="22"/>
          <w:szCs w:val="22"/>
          <w:lang w:val="es-ES_tradnl"/>
        </w:rPr>
      </w:pPr>
    </w:p>
    <w:p w:rsidR="00AF3062" w:rsidRPr="0071028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el contexto de la pandemia, la </w:t>
      </w:r>
      <w:proofErr w:type="spellStart"/>
      <w:r w:rsidRPr="00052F55">
        <w:rPr>
          <w:rFonts w:ascii="AvantGarde Bk BT" w:hAnsi="AvantGarde Bk BT" w:cs="Arial"/>
          <w:bCs/>
          <w:color w:val="000000" w:themeColor="text1"/>
          <w:sz w:val="22"/>
          <w:szCs w:val="22"/>
          <w:lang w:val="es-ES_tradnl"/>
        </w:rPr>
        <w:t>CoIDH</w:t>
      </w:r>
      <w:proofErr w:type="spellEnd"/>
      <w:r w:rsidRPr="00052F55">
        <w:rPr>
          <w:rFonts w:ascii="AvantGarde Bk BT" w:hAnsi="AvantGarde Bk BT" w:cs="Arial"/>
          <w:bCs/>
          <w:color w:val="000000" w:themeColor="text1"/>
          <w:sz w:val="22"/>
          <w:szCs w:val="22"/>
          <w:lang w:val="es-ES_tradnl"/>
        </w:rPr>
        <w:t xml:space="preserve"> ha establecido que “Los derechos humanos, particularmente, el derecho a la salud y la vida, como otros derechos económicos y sociales, por su implicancia y efecto en grandes conglomerados, especialmente los más vulnerables, deben estar en el centro de las consideraciones de las políticas públicas.”</w:t>
      </w:r>
      <w:r w:rsidRPr="00052F55">
        <w:rPr>
          <w:rFonts w:ascii="AvantGarde Bk BT" w:hAnsi="AvantGarde Bk BT" w:cs="Arial"/>
          <w:bCs/>
          <w:color w:val="000000" w:themeColor="text1"/>
          <w:sz w:val="22"/>
          <w:szCs w:val="22"/>
          <w:vertAlign w:val="superscript"/>
          <w:lang w:val="es-ES_tradnl"/>
        </w:rPr>
        <w:footnoteReference w:id="8"/>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relación con lo anterior, y en el marco de la implementación de medidas vinculadas a al </w:t>
      </w:r>
      <w:proofErr w:type="spellStart"/>
      <w:r w:rsidRPr="00052F55">
        <w:rPr>
          <w:rFonts w:ascii="AvantGarde Bk BT" w:hAnsi="AvantGarde Bk BT" w:cs="Arial"/>
          <w:bCs/>
          <w:color w:val="000000" w:themeColor="text1"/>
          <w:sz w:val="22"/>
          <w:szCs w:val="22"/>
          <w:lang w:val="es-ES_tradnl"/>
        </w:rPr>
        <w:t>COVID</w:t>
      </w:r>
      <w:proofErr w:type="spellEnd"/>
      <w:r w:rsidRPr="00052F55">
        <w:rPr>
          <w:rFonts w:ascii="AvantGarde Bk BT" w:hAnsi="AvantGarde Bk BT" w:cs="Arial"/>
          <w:bCs/>
          <w:color w:val="000000" w:themeColor="text1"/>
          <w:sz w:val="22"/>
          <w:szCs w:val="22"/>
          <w:lang w:val="es-ES_tradnl"/>
        </w:rPr>
        <w:t xml:space="preserve">-19, el Maestro Jaime Valls </w:t>
      </w:r>
      <w:proofErr w:type="spellStart"/>
      <w:r w:rsidRPr="00052F55">
        <w:rPr>
          <w:rFonts w:ascii="AvantGarde Bk BT" w:hAnsi="AvantGarde Bk BT" w:cs="Arial"/>
          <w:bCs/>
          <w:color w:val="000000" w:themeColor="text1"/>
          <w:sz w:val="22"/>
          <w:szCs w:val="22"/>
          <w:lang w:val="es-ES_tradnl"/>
        </w:rPr>
        <w:t>Esponda</w:t>
      </w:r>
      <w:proofErr w:type="spellEnd"/>
      <w:r w:rsidRPr="00052F55">
        <w:rPr>
          <w:rFonts w:ascii="AvantGarde Bk BT" w:hAnsi="AvantGarde Bk BT" w:cs="Arial"/>
          <w:bCs/>
          <w:color w:val="000000" w:themeColor="text1"/>
          <w:sz w:val="22"/>
          <w:szCs w:val="22"/>
          <w:lang w:val="es-ES_tradnl"/>
        </w:rPr>
        <w:t>, Secretario General Ejecutivo de la Asociación Nacional de Universidades e Instituciones de Educación Superior (</w:t>
      </w:r>
      <w:proofErr w:type="spellStart"/>
      <w:r w:rsidRPr="00052F55">
        <w:rPr>
          <w:rFonts w:ascii="AvantGarde Bk BT" w:hAnsi="AvantGarde Bk BT" w:cs="Arial"/>
          <w:bCs/>
          <w:color w:val="000000" w:themeColor="text1"/>
          <w:sz w:val="22"/>
          <w:szCs w:val="22"/>
          <w:lang w:val="es-ES_tradnl"/>
        </w:rPr>
        <w:t>ANUIES</w:t>
      </w:r>
      <w:proofErr w:type="spellEnd"/>
      <w:r w:rsidRPr="00052F55">
        <w:rPr>
          <w:rFonts w:ascii="AvantGarde Bk BT" w:hAnsi="AvantGarde Bk BT" w:cs="Arial"/>
          <w:bCs/>
          <w:color w:val="000000" w:themeColor="text1"/>
          <w:sz w:val="22"/>
          <w:szCs w:val="22"/>
          <w:lang w:val="es-ES_tradnl"/>
        </w:rPr>
        <w:t xml:space="preserve">) señaló que “para las instituciones de educación superior, en el marco de su responsabilidad social universitaria, es imperativo asegurar la protección y el bienestar de sus comunidades universitarias en todo momento”. </w:t>
      </w:r>
      <w:r w:rsidRPr="00052F55">
        <w:rPr>
          <w:rFonts w:ascii="AvantGarde Bk BT" w:hAnsi="AvantGarde Bk BT" w:cs="Arial"/>
          <w:bCs/>
          <w:color w:val="000000" w:themeColor="text1"/>
          <w:sz w:val="22"/>
          <w:szCs w:val="22"/>
          <w:vertAlign w:val="superscript"/>
          <w:lang w:val="es-ES_tradnl"/>
        </w:rPr>
        <w:footnoteReference w:id="9"/>
      </w:r>
    </w:p>
    <w:p w:rsidR="00AF3062" w:rsidRPr="00052F55" w:rsidRDefault="00AF3062" w:rsidP="00AF3062">
      <w:pPr>
        <w:pStyle w:val="Prrafodelista"/>
        <w:ind w:left="709"/>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lastRenderedPageBreak/>
        <w:t>En el mismo sentido, la Organización de las Naciones Unidas para la Educación, la Ciencia y la Cultura (UNESCO) tomando en consideración el contexto mundial actual, delimitó que “en momentos en que el mundo hace frente a un desafío sin precedentes, se reconoce más que nunca el papel crucial desempeñado por la escuela con miras a garantizar la salud y el bienestar de los alumnos, y en realidad del conjunto de la comunidad escolar”.</w:t>
      </w:r>
      <w:r w:rsidRPr="00052F55">
        <w:rPr>
          <w:rFonts w:ascii="AvantGarde Bk BT" w:hAnsi="AvantGarde Bk BT" w:cs="Arial"/>
          <w:bCs/>
          <w:color w:val="000000" w:themeColor="text1"/>
          <w:sz w:val="22"/>
          <w:szCs w:val="22"/>
          <w:vertAlign w:val="superscript"/>
          <w:lang w:val="es-ES_tradnl"/>
        </w:rPr>
        <w:footnoteReference w:id="10"/>
      </w:r>
    </w:p>
    <w:p w:rsidR="00AF3062" w:rsidRPr="00052F55" w:rsidRDefault="00AF3062" w:rsidP="00AF3062">
      <w:pPr>
        <w:ind w:right="51"/>
        <w:jc w:val="both"/>
        <w:rPr>
          <w:rFonts w:ascii="AvantGarde Bk BT" w:hAnsi="AvantGarde Bk BT" w:cs="Arial"/>
          <w:color w:val="000000" w:themeColor="text1"/>
          <w:sz w:val="18"/>
          <w:szCs w:val="22"/>
          <w:lang w:val="es-ES_tradnl"/>
        </w:rPr>
      </w:pPr>
    </w:p>
    <w:p w:rsidR="00AF3062" w:rsidRPr="00052F55" w:rsidRDefault="00AF3062" w:rsidP="00AF3062">
      <w:pPr>
        <w:ind w:right="51"/>
        <w:jc w:val="both"/>
        <w:rPr>
          <w:rFonts w:ascii="AvantGarde Bk BT" w:hAnsi="AvantGarde Bk BT" w:cs="Arial"/>
          <w:b/>
          <w:bCs/>
          <w:color w:val="000000" w:themeColor="text1"/>
          <w:sz w:val="22"/>
          <w:szCs w:val="32"/>
          <w:lang w:val="es-ES_tradnl"/>
        </w:rPr>
      </w:pPr>
      <w:r w:rsidRPr="00052F55">
        <w:rPr>
          <w:rFonts w:ascii="AvantGarde Bk BT" w:hAnsi="AvantGarde Bk BT" w:cs="Arial"/>
          <w:b/>
          <w:bCs/>
          <w:color w:val="000000" w:themeColor="text1"/>
          <w:sz w:val="22"/>
          <w:szCs w:val="32"/>
          <w:lang w:val="es-ES_tradnl"/>
        </w:rPr>
        <w:t>C. DERECHO A LA EDUCACIÓN</w:t>
      </w:r>
    </w:p>
    <w:p w:rsidR="00AF3062" w:rsidRPr="00052F55" w:rsidRDefault="00AF3062" w:rsidP="00AF3062">
      <w:pPr>
        <w:ind w:right="51"/>
        <w:jc w:val="both"/>
        <w:rPr>
          <w:rFonts w:ascii="AvantGarde Bk BT" w:hAnsi="AvantGarde Bk BT" w:cs="Arial"/>
          <w:b/>
          <w:bCs/>
          <w:color w:val="000000" w:themeColor="text1"/>
          <w:sz w:val="18"/>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De conformidad con el artículo 26, numeral 1 de la Declaración Universal de Derechos Humanos, toda persona tiene derecho a la educación; la instrucción técnica y profesional habrá de ser generalizada, y el acceso a los estudios superiores será igual para todos, en función de los méritos respectivos.  </w:t>
      </w:r>
    </w:p>
    <w:p w:rsidR="00AF3062" w:rsidRPr="00052F55" w:rsidRDefault="00AF3062" w:rsidP="00AF3062">
      <w:pPr>
        <w:pStyle w:val="Prrafodelista"/>
        <w:ind w:left="360"/>
        <w:jc w:val="both"/>
        <w:rPr>
          <w:rFonts w:ascii="AvantGarde Bk BT" w:hAnsi="AvantGarde Bk BT" w:cs="Arial"/>
          <w:bCs/>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el mismo sentido, en el artículo 13, numeral 1 del Pacto Internacional de Derechos Económicos, Sociales y Culturales se reconoce el derecho de toda persona a la educación. </w:t>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Es importante considerar que en términos del artículo 3° de la </w:t>
      </w:r>
      <w:proofErr w:type="spellStart"/>
      <w:r w:rsidRPr="00052F55">
        <w:rPr>
          <w:rFonts w:ascii="AvantGarde Bk BT" w:hAnsi="AvantGarde Bk BT" w:cs="Arial"/>
          <w:color w:val="000000" w:themeColor="text1"/>
          <w:sz w:val="22"/>
          <w:szCs w:val="22"/>
          <w:lang w:val="es-ES_tradnl"/>
        </w:rPr>
        <w:t>CPEUM</w:t>
      </w:r>
      <w:proofErr w:type="spellEnd"/>
      <w:r w:rsidRPr="00052F55">
        <w:rPr>
          <w:rFonts w:ascii="AvantGarde Bk BT" w:hAnsi="AvantGarde Bk BT" w:cs="Arial"/>
          <w:color w:val="000000" w:themeColor="text1"/>
          <w:sz w:val="22"/>
          <w:szCs w:val="22"/>
          <w:lang w:val="es-ES_tradnl"/>
        </w:rPr>
        <w:t>, toda persona tiene derecho a la educación. La educación impartida por el Estado, además de obligatoria, será universal, inclusiva, pública, gratuita y laica.</w:t>
      </w:r>
    </w:p>
    <w:p w:rsidR="00AF3062" w:rsidRPr="00052F55" w:rsidRDefault="00AF3062" w:rsidP="00AF3062">
      <w:pPr>
        <w:rPr>
          <w:rFonts w:ascii="AvantGarde Bk BT" w:hAnsi="AvantGarde Bk BT" w:cs="Arial"/>
          <w:bCs/>
          <w:color w:val="000000" w:themeColor="text1"/>
          <w:sz w:val="22"/>
          <w:szCs w:val="22"/>
          <w:lang w:val="es-ES_tradnl"/>
        </w:rPr>
      </w:pPr>
    </w:p>
    <w:p w:rsidR="00AF3062" w:rsidRPr="0071028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Respecto del derecho de acceso a la educación superior, la </w:t>
      </w:r>
      <w:proofErr w:type="spellStart"/>
      <w:r w:rsidRPr="00052F55">
        <w:rPr>
          <w:rFonts w:ascii="AvantGarde Bk BT" w:hAnsi="AvantGarde Bk BT" w:cs="Arial"/>
          <w:bCs/>
          <w:color w:val="000000" w:themeColor="text1"/>
          <w:sz w:val="22"/>
          <w:szCs w:val="22"/>
          <w:lang w:val="es-ES_tradnl"/>
        </w:rPr>
        <w:t>SCJN</w:t>
      </w:r>
      <w:proofErr w:type="spellEnd"/>
      <w:r w:rsidRPr="00052F55">
        <w:rPr>
          <w:rFonts w:ascii="AvantGarde Bk BT" w:hAnsi="AvantGarde Bk BT" w:cs="Arial"/>
          <w:bCs/>
          <w:color w:val="000000" w:themeColor="text1"/>
          <w:sz w:val="22"/>
          <w:szCs w:val="22"/>
          <w:lang w:val="es-ES_tradnl"/>
        </w:rPr>
        <w:t xml:space="preserve"> ha delimitado que dicha educación está conectada estrechamente con la obtención de determinados objetivos colectivos, tales como el desarrollo del conocimiento científico y tecnológico, el fomento de la cultura y de actividades económicas; por lo que las obligaciones de promoción del Estado no pueden desvincularse de estas finalidades sociales cuya maximización beneficia a la sociedad de manera difusa.</w:t>
      </w:r>
      <w:r w:rsidRPr="00052F55">
        <w:rPr>
          <w:rStyle w:val="Refdenotaalpie"/>
          <w:rFonts w:ascii="AvantGarde Bk BT" w:hAnsi="AvantGarde Bk BT" w:cs="Arial"/>
          <w:bCs/>
          <w:color w:val="000000" w:themeColor="text1"/>
          <w:sz w:val="22"/>
          <w:szCs w:val="22"/>
          <w:lang w:val="es-ES_tradnl"/>
        </w:rPr>
        <w:footnoteReference w:id="11"/>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relación con lo anterior, la UNESCO en el marco de la Conferencia Mundial sobre la Educación Superior señaló que el acceso a los estudios superiores debería estar basado en los méritos, la capacidad, los esfuerzos, la perseverancia y la determinación de los aspirantes y, en la perspectiva de la educación a lo largo de toda la vida, </w:t>
      </w:r>
      <w:r w:rsidRPr="00052F55">
        <w:rPr>
          <w:rFonts w:ascii="AvantGarde Bk BT" w:hAnsi="AvantGarde Bk BT" w:cs="Arial"/>
          <w:b/>
          <w:color w:val="000000" w:themeColor="text1"/>
          <w:sz w:val="22"/>
          <w:szCs w:val="22"/>
          <w:lang w:val="es-ES_tradnl"/>
        </w:rPr>
        <w:t>tomando debidamente en cuenta las competencias adquiridas anteriormente</w:t>
      </w:r>
      <w:r w:rsidRPr="00052F55">
        <w:rPr>
          <w:rFonts w:ascii="AvantGarde Bk BT" w:hAnsi="AvantGarde Bk BT" w:cs="Arial"/>
          <w:bCs/>
          <w:color w:val="000000" w:themeColor="text1"/>
          <w:sz w:val="22"/>
          <w:szCs w:val="22"/>
          <w:lang w:val="es-ES_tradnl"/>
        </w:rPr>
        <w:t>.</w:t>
      </w:r>
      <w:r w:rsidRPr="00052F55">
        <w:rPr>
          <w:rStyle w:val="Refdenotaalpie"/>
          <w:rFonts w:ascii="AvantGarde Bk BT" w:hAnsi="AvantGarde Bk BT" w:cs="Arial"/>
          <w:bCs/>
          <w:color w:val="000000" w:themeColor="text1"/>
          <w:sz w:val="22"/>
          <w:szCs w:val="22"/>
          <w:lang w:val="es-ES_tradnl"/>
        </w:rPr>
        <w:footnoteReference w:id="12"/>
      </w:r>
    </w:p>
    <w:p w:rsidR="00710285" w:rsidRDefault="00710285">
      <w:pPr>
        <w:rPr>
          <w:rFonts w:ascii="AvantGarde Bk BT" w:hAnsi="AvantGarde Bk BT" w:cs="Arial"/>
          <w:bCs/>
          <w:color w:val="000000" w:themeColor="text1"/>
          <w:sz w:val="22"/>
          <w:szCs w:val="22"/>
          <w:lang w:val="es-ES_tradnl" w:eastAsia="es-ES"/>
        </w:rPr>
      </w:pPr>
      <w:r>
        <w:rPr>
          <w:rFonts w:ascii="AvantGarde Bk BT" w:hAnsi="AvantGarde Bk BT" w:cs="Arial"/>
          <w:bCs/>
          <w:color w:val="000000" w:themeColor="text1"/>
          <w:sz w:val="22"/>
          <w:szCs w:val="22"/>
          <w:lang w:val="es-ES_tradnl"/>
        </w:rPr>
        <w:br w:type="page"/>
      </w:r>
    </w:p>
    <w:p w:rsidR="00AF3062" w:rsidRDefault="00AF3062" w:rsidP="00AF3062">
      <w:pPr>
        <w:pStyle w:val="Prrafodelista"/>
        <w:ind w:left="360"/>
        <w:contextualSpacing/>
        <w:jc w:val="both"/>
        <w:rPr>
          <w:rFonts w:ascii="AvantGarde Bk BT" w:hAnsi="AvantGarde Bk BT" w:cs="Arial"/>
          <w:bCs/>
          <w:color w:val="000000" w:themeColor="text1"/>
          <w:sz w:val="22"/>
          <w:szCs w:val="22"/>
          <w:lang w:val="es-ES_tradnl"/>
        </w:rPr>
      </w:pPr>
    </w:p>
    <w:p w:rsidR="00AF3062" w:rsidRPr="005D6FDE" w:rsidRDefault="00AF3062" w:rsidP="00AF3062">
      <w:pPr>
        <w:pStyle w:val="Prrafodelista"/>
        <w:numPr>
          <w:ilvl w:val="0"/>
          <w:numId w:val="3"/>
        </w:numPr>
        <w:tabs>
          <w:tab w:val="clear" w:pos="360"/>
        </w:tabs>
        <w:contextualSpacing/>
        <w:jc w:val="both"/>
        <w:rPr>
          <w:rFonts w:ascii="AvantGarde Bk BT" w:hAnsi="AvantGarde Bk BT" w:cs="Arial"/>
          <w:bCs/>
          <w:color w:val="000000" w:themeColor="text1"/>
          <w:sz w:val="22"/>
          <w:szCs w:val="22"/>
          <w:lang w:val="es-ES_tradnl"/>
        </w:rPr>
      </w:pPr>
      <w:r w:rsidRPr="005D6FDE">
        <w:rPr>
          <w:rFonts w:ascii="AvantGarde Bk BT" w:hAnsi="AvantGarde Bk BT" w:cs="Arial"/>
          <w:bCs/>
          <w:color w:val="000000" w:themeColor="text1"/>
          <w:sz w:val="22"/>
          <w:szCs w:val="22"/>
          <w:lang w:val="es-ES_tradnl"/>
        </w:rPr>
        <w:t>En este sentido, el promedio de calificaciones obtenido por los estudiantes en la educación media superior es señalado por especialistas como un factor determinante para medir tanto la trayectoria académica, como el desarrollo educativo y crecimiento personal de los jóvenes. Aún más, investigaciones recientes han encontrado que el promedio es una de las variables de mayor peso para determinar el éxito académico, ya que estudiantes con más altos promedios de preparatoria muestran mayores tasas de egreso de la universidad, en comparación con aquellos estudiantes que presentan puntajes altos en las pruebas estandarizadas.</w:t>
      </w:r>
      <w:r w:rsidRPr="005D6FDE">
        <w:rPr>
          <w:rStyle w:val="Refdenotaalpie"/>
          <w:rFonts w:ascii="AvantGarde Bk BT" w:hAnsi="AvantGarde Bk BT" w:cs="Arial"/>
          <w:bCs/>
          <w:color w:val="000000" w:themeColor="text1"/>
          <w:sz w:val="22"/>
          <w:szCs w:val="22"/>
          <w:lang w:val="es-ES_tradnl"/>
        </w:rPr>
        <w:footnoteReference w:id="13"/>
      </w:r>
      <w:r w:rsidRPr="005D6FDE">
        <w:rPr>
          <w:rFonts w:ascii="AvantGarde Bk BT" w:hAnsi="AvantGarde Bk BT" w:cs="Arial"/>
          <w:bCs/>
          <w:color w:val="000000" w:themeColor="text1"/>
          <w:sz w:val="22"/>
          <w:szCs w:val="22"/>
          <w:lang w:val="es-ES_tradnl"/>
        </w:rPr>
        <w:t xml:space="preserve"> En países como Estados Unidos, el promedio también ha sido implementado como un mecanismo de ingreso a la universidad para ampliar la diversidad socioeconómica y demográfica de las instituciones.</w:t>
      </w:r>
      <w:r w:rsidRPr="005D6FDE">
        <w:rPr>
          <w:rStyle w:val="Refdenotaalpie"/>
          <w:rFonts w:ascii="AvantGarde Bk BT" w:hAnsi="AvantGarde Bk BT" w:cs="Arial"/>
          <w:bCs/>
          <w:color w:val="000000" w:themeColor="text1"/>
          <w:sz w:val="22"/>
          <w:szCs w:val="22"/>
          <w:lang w:val="es-ES_tradnl"/>
        </w:rPr>
        <w:t xml:space="preserve"> </w:t>
      </w:r>
      <w:r w:rsidRPr="005D6FDE">
        <w:rPr>
          <w:rStyle w:val="Refdenotaalpie"/>
          <w:rFonts w:ascii="AvantGarde Bk BT" w:hAnsi="AvantGarde Bk BT" w:cs="Arial"/>
          <w:bCs/>
          <w:color w:val="000000" w:themeColor="text1"/>
          <w:sz w:val="22"/>
          <w:szCs w:val="22"/>
          <w:lang w:val="es-ES_tradnl"/>
        </w:rPr>
        <w:footnoteReference w:id="14"/>
      </w:r>
    </w:p>
    <w:p w:rsidR="00AF3062" w:rsidRPr="00052F55" w:rsidRDefault="00AF3062" w:rsidP="00AF3062">
      <w:pPr>
        <w:pStyle w:val="Prrafodelista"/>
        <w:rPr>
          <w:rFonts w:ascii="AvantGarde Bk BT" w:hAnsi="AvantGarde Bk BT" w:cs="Arial"/>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Por otro lado, respecto de la situación actual, en relación con la incidencia de la pandemia de </w:t>
      </w:r>
      <w:proofErr w:type="spellStart"/>
      <w:r w:rsidRPr="00052F55">
        <w:rPr>
          <w:rFonts w:ascii="AvantGarde Bk BT" w:hAnsi="AvantGarde Bk BT" w:cs="Arial"/>
          <w:bCs/>
          <w:color w:val="000000" w:themeColor="text1"/>
          <w:sz w:val="22"/>
          <w:szCs w:val="22"/>
          <w:lang w:val="es-ES_tradnl"/>
        </w:rPr>
        <w:t>COVID</w:t>
      </w:r>
      <w:proofErr w:type="spellEnd"/>
      <w:r w:rsidRPr="00052F55">
        <w:rPr>
          <w:rFonts w:ascii="AvantGarde Bk BT" w:hAnsi="AvantGarde Bk BT" w:cs="Arial"/>
          <w:bCs/>
          <w:color w:val="000000" w:themeColor="text1"/>
          <w:sz w:val="22"/>
          <w:szCs w:val="22"/>
          <w:lang w:val="es-ES_tradnl"/>
        </w:rPr>
        <w:t>-19 en las Instituciones de Educación Superior (</w:t>
      </w:r>
      <w:proofErr w:type="spellStart"/>
      <w:r w:rsidRPr="00052F55">
        <w:rPr>
          <w:rFonts w:ascii="AvantGarde Bk BT" w:hAnsi="AvantGarde Bk BT" w:cs="Arial"/>
          <w:bCs/>
          <w:color w:val="000000" w:themeColor="text1"/>
          <w:sz w:val="22"/>
          <w:szCs w:val="22"/>
          <w:lang w:val="es-ES_tradnl"/>
        </w:rPr>
        <w:t>IES</w:t>
      </w:r>
      <w:proofErr w:type="spellEnd"/>
      <w:r w:rsidRPr="00052F55">
        <w:rPr>
          <w:rFonts w:ascii="AvantGarde Bk BT" w:hAnsi="AvantGarde Bk BT" w:cs="Arial"/>
          <w:bCs/>
          <w:color w:val="000000" w:themeColor="text1"/>
          <w:sz w:val="22"/>
          <w:szCs w:val="22"/>
          <w:lang w:val="es-ES_tradnl"/>
        </w:rPr>
        <w:t xml:space="preserve">), la Organización de las Naciones Unidas (ONU) ha señalado que para poder superar la crisis, las </w:t>
      </w:r>
      <w:proofErr w:type="spellStart"/>
      <w:r w:rsidRPr="00052F55">
        <w:rPr>
          <w:rFonts w:ascii="AvantGarde Bk BT" w:hAnsi="AvantGarde Bk BT" w:cs="Arial"/>
          <w:bCs/>
          <w:color w:val="000000" w:themeColor="text1"/>
          <w:sz w:val="22"/>
          <w:szCs w:val="22"/>
          <w:lang w:val="es-ES_tradnl"/>
        </w:rPr>
        <w:t>IES</w:t>
      </w:r>
      <w:proofErr w:type="spellEnd"/>
      <w:r w:rsidRPr="00052F55">
        <w:rPr>
          <w:rFonts w:ascii="AvantGarde Bk BT" w:hAnsi="AvantGarde Bk BT" w:cs="Arial"/>
          <w:bCs/>
          <w:color w:val="000000" w:themeColor="text1"/>
          <w:sz w:val="22"/>
          <w:szCs w:val="22"/>
          <w:lang w:val="es-ES_tradnl"/>
        </w:rPr>
        <w:t xml:space="preserve"> deben actuar con rapidez, así como pensar de forma innovadora para mitigar el impacto del reto que enfrentan, lo cual requiere un compromiso para cambiar las estructuras mentales acerca de cómo planificar e implementar la educación, y usar soluciones novedosas.</w:t>
      </w:r>
      <w:r w:rsidRPr="00052F55">
        <w:rPr>
          <w:rStyle w:val="Refdenotaalpie"/>
          <w:rFonts w:ascii="AvantGarde Bk BT" w:hAnsi="AvantGarde Bk BT" w:cs="Arial"/>
          <w:bCs/>
          <w:color w:val="000000" w:themeColor="text1"/>
          <w:sz w:val="22"/>
          <w:szCs w:val="22"/>
          <w:lang w:val="es-ES_tradnl"/>
        </w:rPr>
        <w:footnoteReference w:id="15"/>
      </w:r>
    </w:p>
    <w:p w:rsidR="00AF3062" w:rsidRPr="00052F55" w:rsidRDefault="00AF3062" w:rsidP="00AF3062">
      <w:pPr>
        <w:ind w:right="51"/>
        <w:jc w:val="both"/>
        <w:rPr>
          <w:rFonts w:ascii="AvantGarde Bk BT" w:hAnsi="AvantGarde Bk BT" w:cs="Arial"/>
          <w:b/>
          <w:bCs/>
          <w:color w:val="000000" w:themeColor="text1"/>
          <w:sz w:val="18"/>
          <w:szCs w:val="22"/>
          <w:lang w:val="es-ES_tradnl"/>
        </w:rPr>
      </w:pPr>
    </w:p>
    <w:p w:rsidR="00AF3062" w:rsidRPr="00052F55" w:rsidRDefault="00AF3062" w:rsidP="00AF3062">
      <w:pPr>
        <w:ind w:right="51"/>
        <w:jc w:val="both"/>
        <w:rPr>
          <w:rFonts w:ascii="AvantGarde Bk BT" w:hAnsi="AvantGarde Bk BT" w:cs="Arial"/>
          <w:b/>
          <w:bCs/>
          <w:color w:val="000000" w:themeColor="text1"/>
          <w:sz w:val="22"/>
          <w:szCs w:val="32"/>
          <w:lang w:val="es-ES_tradnl"/>
        </w:rPr>
      </w:pPr>
      <w:r w:rsidRPr="00052F55">
        <w:rPr>
          <w:rFonts w:ascii="AvantGarde Bk BT" w:hAnsi="AvantGarde Bk BT" w:cs="Arial"/>
          <w:b/>
          <w:bCs/>
          <w:color w:val="000000" w:themeColor="text1"/>
          <w:sz w:val="22"/>
          <w:szCs w:val="32"/>
          <w:lang w:val="es-ES_tradnl"/>
        </w:rPr>
        <w:t xml:space="preserve">D. AUTONOMÍA UNIVERSITARIA (FACULTAD DE </w:t>
      </w:r>
      <w:proofErr w:type="spellStart"/>
      <w:r w:rsidRPr="00052F55">
        <w:rPr>
          <w:rFonts w:ascii="AvantGarde Bk BT" w:hAnsi="AvantGarde Bk BT" w:cs="Arial"/>
          <w:b/>
          <w:bCs/>
          <w:color w:val="000000" w:themeColor="text1"/>
          <w:sz w:val="22"/>
          <w:szCs w:val="32"/>
          <w:lang w:val="es-ES_tradnl"/>
        </w:rPr>
        <w:t>AUTONORMACIÓN</w:t>
      </w:r>
      <w:proofErr w:type="spellEnd"/>
      <w:r w:rsidRPr="00052F55">
        <w:rPr>
          <w:rFonts w:ascii="AvantGarde Bk BT" w:hAnsi="AvantGarde Bk BT" w:cs="Arial"/>
          <w:b/>
          <w:bCs/>
          <w:color w:val="000000" w:themeColor="text1"/>
          <w:sz w:val="22"/>
          <w:szCs w:val="32"/>
          <w:lang w:val="es-ES_tradnl"/>
        </w:rPr>
        <w:t>)</w:t>
      </w:r>
    </w:p>
    <w:p w:rsidR="00AF3062" w:rsidRPr="00052F55" w:rsidRDefault="00AF3062" w:rsidP="00AF3062">
      <w:pPr>
        <w:ind w:right="51"/>
        <w:jc w:val="both"/>
        <w:rPr>
          <w:rFonts w:ascii="AvantGarde Bk BT" w:hAnsi="AvantGarde Bk BT" w:cs="Arial"/>
          <w:b/>
          <w:bCs/>
          <w:color w:val="000000" w:themeColor="text1"/>
          <w:sz w:val="22"/>
          <w:szCs w:val="3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rPr>
        <w:t>Adicionalmente, la CPEUM como parte de la autonomía universitaria, reconoce que las universidades y demás instituciones de educación superior a las que la ley otorga autonomía, tienen la facultad de gobernarse a sí mismas, en términos de la fracción VII del artículo 3º de la Constitución, a saber:</w:t>
      </w:r>
    </w:p>
    <w:p w:rsidR="00AF3062" w:rsidRPr="00052F55" w:rsidRDefault="00AF3062" w:rsidP="00AF3062">
      <w:pPr>
        <w:ind w:left="708" w:right="616"/>
        <w:jc w:val="both"/>
        <w:rPr>
          <w:rFonts w:ascii="AvantGarde Bk BT" w:hAnsi="AvantGarde Bk BT" w:cs="Arial"/>
          <w:b/>
          <w:i/>
          <w:color w:val="000000" w:themeColor="text1"/>
          <w:sz w:val="18"/>
          <w:szCs w:val="18"/>
        </w:rPr>
      </w:pPr>
      <w:bookmarkStart w:id="0" w:name="Artículo_3o"/>
    </w:p>
    <w:p w:rsidR="00710285" w:rsidRDefault="00710285">
      <w:pPr>
        <w:rPr>
          <w:rFonts w:ascii="AvantGarde Bk BT" w:hAnsi="AvantGarde Bk BT" w:cs="Arial"/>
          <w:b/>
          <w:i/>
          <w:color w:val="000000" w:themeColor="text1"/>
          <w:sz w:val="18"/>
          <w:szCs w:val="18"/>
        </w:rPr>
      </w:pPr>
      <w:r>
        <w:rPr>
          <w:rFonts w:ascii="AvantGarde Bk BT" w:hAnsi="AvantGarde Bk BT" w:cs="Arial"/>
          <w:b/>
          <w:i/>
          <w:color w:val="000000" w:themeColor="text1"/>
          <w:sz w:val="18"/>
          <w:szCs w:val="18"/>
        </w:rPr>
        <w:br w:type="page"/>
      </w:r>
    </w:p>
    <w:p w:rsidR="00AF3062" w:rsidRPr="00052F55" w:rsidRDefault="00AF3062" w:rsidP="00AF3062">
      <w:pPr>
        <w:ind w:left="708" w:right="616"/>
        <w:jc w:val="both"/>
        <w:rPr>
          <w:rFonts w:ascii="AvantGarde Bk BT" w:hAnsi="AvantGarde Bk BT" w:cs="Arial"/>
          <w:bCs/>
          <w:i/>
          <w:color w:val="000000" w:themeColor="text1"/>
          <w:sz w:val="18"/>
          <w:szCs w:val="18"/>
        </w:rPr>
      </w:pPr>
      <w:r w:rsidRPr="00052F55">
        <w:rPr>
          <w:rFonts w:ascii="AvantGarde Bk BT" w:hAnsi="AvantGarde Bk BT" w:cs="Arial"/>
          <w:b/>
          <w:i/>
          <w:color w:val="000000" w:themeColor="text1"/>
          <w:sz w:val="18"/>
          <w:szCs w:val="18"/>
        </w:rPr>
        <w:lastRenderedPageBreak/>
        <w:t>Artículo 3o</w:t>
      </w:r>
      <w:bookmarkEnd w:id="0"/>
      <w:r w:rsidRPr="00052F55">
        <w:rPr>
          <w:rFonts w:ascii="AvantGarde Bk BT" w:hAnsi="AvantGarde Bk BT" w:cs="Arial"/>
          <w:b/>
          <w:i/>
          <w:color w:val="000000" w:themeColor="text1"/>
          <w:sz w:val="18"/>
          <w:szCs w:val="18"/>
        </w:rPr>
        <w:t>.</w:t>
      </w:r>
      <w:r w:rsidRPr="00052F55">
        <w:rPr>
          <w:rFonts w:ascii="AvantGarde Bk BT" w:hAnsi="AvantGarde Bk BT" w:cs="Arial"/>
          <w:bCs/>
          <w:i/>
          <w:color w:val="000000" w:themeColor="text1"/>
          <w:sz w:val="18"/>
          <w:szCs w:val="18"/>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AF3062" w:rsidRPr="00052F55" w:rsidRDefault="00AF3062" w:rsidP="00AF3062">
      <w:pPr>
        <w:ind w:left="708" w:right="616"/>
        <w:jc w:val="both"/>
        <w:rPr>
          <w:rFonts w:ascii="AvantGarde Bk BT" w:hAnsi="AvantGarde Bk BT" w:cs="Arial"/>
          <w:b/>
          <w:i/>
          <w:color w:val="000000" w:themeColor="text1"/>
          <w:sz w:val="18"/>
          <w:szCs w:val="18"/>
        </w:rPr>
      </w:pPr>
      <w:r w:rsidRPr="00052F55">
        <w:rPr>
          <w:rFonts w:ascii="AvantGarde Bk BT" w:hAnsi="AvantGarde Bk BT" w:cs="Arial"/>
          <w:b/>
          <w:i/>
          <w:color w:val="000000" w:themeColor="text1"/>
          <w:sz w:val="18"/>
          <w:szCs w:val="18"/>
        </w:rPr>
        <w:t>…</w:t>
      </w:r>
    </w:p>
    <w:p w:rsidR="00AF3062" w:rsidRPr="00052F55" w:rsidRDefault="00AF3062" w:rsidP="00AF3062">
      <w:pPr>
        <w:ind w:left="1416" w:right="616"/>
        <w:jc w:val="both"/>
        <w:rPr>
          <w:rFonts w:ascii="AvantGarde Bk BT" w:hAnsi="AvantGarde Bk BT" w:cs="Arial"/>
          <w:color w:val="000000" w:themeColor="text1"/>
          <w:sz w:val="18"/>
          <w:szCs w:val="18"/>
        </w:rPr>
      </w:pPr>
      <w:r w:rsidRPr="00052F55">
        <w:rPr>
          <w:rFonts w:ascii="AvantGarde Bk BT" w:hAnsi="AvantGarde Bk BT" w:cs="Arial"/>
          <w:i/>
          <w:color w:val="000000" w:themeColor="text1"/>
          <w:sz w:val="18"/>
          <w:szCs w:val="18"/>
        </w:rPr>
        <w:t xml:space="preserve">VII. Las </w:t>
      </w:r>
      <w:r w:rsidRPr="00052F55">
        <w:rPr>
          <w:rFonts w:ascii="AvantGarde Bk BT" w:hAnsi="AvantGarde Bk BT" w:cs="Arial"/>
          <w:b/>
          <w:i/>
          <w:color w:val="000000" w:themeColor="text1"/>
          <w:sz w:val="18"/>
          <w:szCs w:val="18"/>
        </w:rPr>
        <w:t>universidades</w:t>
      </w:r>
      <w:r w:rsidRPr="00052F55">
        <w:rPr>
          <w:rFonts w:ascii="AvantGarde Bk BT" w:hAnsi="AvantGarde Bk BT" w:cs="Arial"/>
          <w:i/>
          <w:color w:val="000000" w:themeColor="text1"/>
          <w:sz w:val="18"/>
          <w:szCs w:val="18"/>
        </w:rPr>
        <w:t xml:space="preserve"> y las demás instituciones de educación superior a las que la </w:t>
      </w:r>
      <w:r w:rsidRPr="00052F55">
        <w:rPr>
          <w:rFonts w:ascii="AvantGarde Bk BT" w:hAnsi="AvantGarde Bk BT" w:cs="Arial"/>
          <w:b/>
          <w:i/>
          <w:color w:val="000000" w:themeColor="text1"/>
          <w:sz w:val="18"/>
          <w:szCs w:val="18"/>
        </w:rPr>
        <w:t>ley otorgue autonomía</w:t>
      </w:r>
      <w:r w:rsidRPr="00052F55">
        <w:rPr>
          <w:rFonts w:ascii="AvantGarde Bk BT" w:hAnsi="AvantGarde Bk BT" w:cs="Arial"/>
          <w:i/>
          <w:color w:val="000000" w:themeColor="text1"/>
          <w:sz w:val="18"/>
          <w:szCs w:val="18"/>
        </w:rPr>
        <w:t xml:space="preserve">, tendrán la </w:t>
      </w:r>
      <w:r w:rsidRPr="00052F55">
        <w:rPr>
          <w:rFonts w:ascii="AvantGarde Bk BT" w:hAnsi="AvantGarde Bk BT" w:cs="Arial"/>
          <w:b/>
          <w:i/>
          <w:color w:val="000000" w:themeColor="text1"/>
          <w:sz w:val="18"/>
          <w:szCs w:val="18"/>
        </w:rPr>
        <w:t>facultad</w:t>
      </w:r>
      <w:r w:rsidRPr="00052F55">
        <w:rPr>
          <w:rFonts w:ascii="AvantGarde Bk BT" w:hAnsi="AvantGarde Bk BT" w:cs="Arial"/>
          <w:i/>
          <w:color w:val="000000" w:themeColor="text1"/>
          <w:sz w:val="18"/>
          <w:szCs w:val="18"/>
        </w:rPr>
        <w:t xml:space="preserve"> y la responsabilidad de </w:t>
      </w:r>
      <w:r w:rsidRPr="00052F55">
        <w:rPr>
          <w:rFonts w:ascii="AvantGarde Bk BT" w:hAnsi="AvantGarde Bk BT" w:cs="Arial"/>
          <w:b/>
          <w:bCs/>
          <w:i/>
          <w:color w:val="000000" w:themeColor="text1"/>
          <w:sz w:val="18"/>
          <w:szCs w:val="18"/>
          <w:u w:val="single"/>
        </w:rPr>
        <w:t>gobernarse a sí mismas</w:t>
      </w:r>
      <w:r w:rsidRPr="00052F55">
        <w:rPr>
          <w:rFonts w:ascii="AvantGarde Bk BT" w:hAnsi="AvantGarde Bk BT" w:cs="Arial"/>
          <w:i/>
          <w:color w:val="000000" w:themeColor="text1"/>
          <w:sz w:val="18"/>
          <w:szCs w:val="18"/>
        </w:rPr>
        <w:t>;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y</w:t>
      </w:r>
    </w:p>
    <w:p w:rsidR="00AF3062" w:rsidRDefault="00AF3062" w:rsidP="00710285">
      <w:pPr>
        <w:ind w:left="567"/>
        <w:rPr>
          <w:rFonts w:ascii="AvantGarde Bk BT" w:hAnsi="AvantGarde Bk BT" w:cs="Arial"/>
          <w:color w:val="000000" w:themeColor="text1"/>
          <w:sz w:val="22"/>
          <w:szCs w:val="22"/>
        </w:rPr>
      </w:pPr>
      <w:r>
        <w:rPr>
          <w:rFonts w:ascii="AvantGarde Bk BT" w:hAnsi="AvantGarde Bk BT" w:cs="Arial"/>
          <w:color w:val="000000" w:themeColor="text1"/>
          <w:sz w:val="22"/>
          <w:szCs w:val="22"/>
        </w:rPr>
        <w:t>…</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La autonomía universitaria, de la que goza la Universidad de Guadalajara, de igual forma, la faculta para aprobar las normas que habrán de regir a su interior, lo que se traduce necesariamente en la aprobación y emisión de su propia legislación (facultad de autoformación), en los términos de la tesis siguiente:</w:t>
      </w:r>
    </w:p>
    <w:p w:rsidR="00AF3062" w:rsidRPr="00052F55" w:rsidRDefault="00AF3062" w:rsidP="00AF3062">
      <w:pPr>
        <w:rPr>
          <w:rFonts w:ascii="AvantGarde Bk BT" w:hAnsi="AvantGarde Bk BT" w:cs="Arial"/>
          <w:b/>
          <w:bCs/>
          <w:i/>
          <w:color w:val="000000" w:themeColor="text1"/>
          <w:sz w:val="22"/>
          <w:szCs w:val="22"/>
        </w:rPr>
      </w:pPr>
    </w:p>
    <w:p w:rsidR="00AF3062" w:rsidRPr="00052F55" w:rsidRDefault="00AF3062" w:rsidP="00AF3062">
      <w:pPr>
        <w:ind w:left="708" w:right="616"/>
        <w:jc w:val="both"/>
        <w:rPr>
          <w:rFonts w:ascii="AvantGarde Bk BT" w:hAnsi="AvantGarde Bk BT" w:cs="Arial"/>
          <w:b/>
          <w:bCs/>
          <w:i/>
          <w:color w:val="000000" w:themeColor="text1"/>
          <w:sz w:val="18"/>
          <w:szCs w:val="18"/>
        </w:rPr>
      </w:pPr>
      <w:r w:rsidRPr="00052F55">
        <w:rPr>
          <w:rFonts w:ascii="AvantGarde Bk BT" w:hAnsi="AvantGarde Bk BT" w:cs="Arial"/>
          <w:b/>
          <w:bCs/>
          <w:i/>
          <w:color w:val="000000" w:themeColor="text1"/>
          <w:sz w:val="18"/>
          <w:szCs w:val="18"/>
        </w:rPr>
        <w:t>AUTONOMÍA UNIVERSITARIA. SU ALCANCE.</w:t>
      </w:r>
      <w:r w:rsidRPr="00052F55">
        <w:rPr>
          <w:rStyle w:val="Refdenotaalpie"/>
          <w:rFonts w:ascii="AvantGarde Bk BT" w:hAnsi="AvantGarde Bk BT"/>
          <w:iCs/>
          <w:color w:val="000000" w:themeColor="text1"/>
          <w:sz w:val="21"/>
          <w:szCs w:val="21"/>
          <w:lang w:val="es-ES_tradnl" w:eastAsia="es-ES"/>
        </w:rPr>
        <w:footnoteReference w:id="16"/>
      </w: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 xml:space="preserve">El Tribunal Pleno de la Suprema Corte de Justicia de la Nación, en la tesis P. XXVIII/97, publicada en el Semanario Judicial de la Federación y su Gaceta, Novena Época, Tomo V, febrero de 1997, página 119, determinó que conforme al artículo 3o., fracción VII, de la Constitución Política de los Estados Unidos Mexicanos, las universidades públicas son organismos públicos descentralizados con autonomía especial, </w:t>
      </w:r>
      <w:r w:rsidRPr="00052F55">
        <w:rPr>
          <w:rFonts w:ascii="AvantGarde Bk BT" w:hAnsi="AvantGarde Bk BT" w:cs="Arial"/>
          <w:b/>
          <w:bCs/>
          <w:i/>
          <w:color w:val="000000" w:themeColor="text1"/>
          <w:sz w:val="18"/>
          <w:szCs w:val="18"/>
        </w:rPr>
        <w:t>que implica autonormación y autogobierno</w:t>
      </w:r>
      <w:r w:rsidRPr="00052F55">
        <w:rPr>
          <w:rFonts w:ascii="AvantGarde Bk BT" w:hAnsi="AvantGarde Bk BT" w:cs="Arial"/>
          <w:i/>
          <w:color w:val="000000" w:themeColor="text1"/>
          <w:sz w:val="18"/>
          <w:szCs w:val="18"/>
        </w:rPr>
        <w:t xml:space="preserve">, en atención a la necesidad de lograr mayor eficacia en la prestación del servicio que les está atribuido y que se fundamenta en su libertad de enseñanza, sin que ello signifique su disgregación de la estructura estatal, ya que se ejerce en un marco de principios y reglas predeterminadas por el propio Estado, restringida a sus fines. En congruencia con ese criterio, y en virtud  de la autonomía que el dispositivo constitucional citado le concede a la Universidad Nacional Autónoma de México, </w:t>
      </w:r>
      <w:r w:rsidRPr="00052F55">
        <w:rPr>
          <w:rFonts w:ascii="AvantGarde Bk BT" w:hAnsi="AvantGarde Bk BT" w:cs="Arial"/>
          <w:b/>
          <w:bCs/>
          <w:i/>
          <w:color w:val="000000" w:themeColor="text1"/>
          <w:sz w:val="18"/>
          <w:szCs w:val="18"/>
        </w:rPr>
        <w:t>ésta se encuentra facultada para gobernarse a sí misma, a través de sus propios órganos, así como para autonormarse o autoregularse, es decir, aprobar las normas que habrán de regir a su interior, lo que se traduce necesariamente en la aprobación y emisión de su propia legislación</w:t>
      </w:r>
      <w:r w:rsidRPr="00052F55">
        <w:rPr>
          <w:rFonts w:ascii="AvantGarde Bk BT" w:hAnsi="AvantGarde Bk BT" w:cs="Arial"/>
          <w:i/>
          <w:color w:val="000000" w:themeColor="text1"/>
          <w:sz w:val="18"/>
          <w:szCs w:val="18"/>
        </w:rPr>
        <w:t>, así como en la creación de sus propios órganos de gobierno, entre ellos los encargados de resolver las controversias que se deriven del incumplimiento de su propia normativa.</w:t>
      </w:r>
    </w:p>
    <w:p w:rsidR="00AF3062" w:rsidRPr="00052F55" w:rsidRDefault="00AF3062" w:rsidP="00AF3062">
      <w:pPr>
        <w:contextualSpacing/>
        <w:jc w:val="both"/>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En este sentido, en la Ley Orgánica de la Universidad se establece que la Universidad de Guadalajara se regirá, entre otras, por las normas que deriven de dicha ley.</w:t>
      </w:r>
    </w:p>
    <w:p w:rsidR="00AF3062" w:rsidRPr="00052F55" w:rsidRDefault="00AF3062" w:rsidP="00AF3062">
      <w:pPr>
        <w:rPr>
          <w:rFonts w:ascii="AvantGarde Bk BT" w:hAnsi="AvantGarde Bk BT" w:cs="Arial"/>
          <w:b/>
          <w:i/>
          <w:color w:val="000000" w:themeColor="text1"/>
          <w:sz w:val="22"/>
          <w:szCs w:val="22"/>
        </w:rPr>
      </w:pPr>
    </w:p>
    <w:p w:rsidR="00AF3062" w:rsidRPr="00052F55" w:rsidRDefault="00AF3062" w:rsidP="00AF3062">
      <w:pPr>
        <w:ind w:left="709" w:right="616"/>
        <w:jc w:val="both"/>
        <w:rPr>
          <w:rFonts w:ascii="AvantGarde Bk BT" w:hAnsi="AvantGarde Bk BT" w:cs="Arial"/>
          <w:i/>
          <w:color w:val="000000" w:themeColor="text1"/>
          <w:sz w:val="18"/>
          <w:szCs w:val="18"/>
        </w:rPr>
      </w:pPr>
      <w:r w:rsidRPr="00052F55">
        <w:rPr>
          <w:rFonts w:ascii="AvantGarde Bk BT" w:hAnsi="AvantGarde Bk BT" w:cs="Arial"/>
          <w:b/>
          <w:i/>
          <w:color w:val="000000" w:themeColor="text1"/>
          <w:sz w:val="18"/>
          <w:szCs w:val="18"/>
        </w:rPr>
        <w:t>Artículo 2.</w:t>
      </w:r>
      <w:r w:rsidRPr="00052F55">
        <w:rPr>
          <w:rFonts w:ascii="AvantGarde Bk BT" w:hAnsi="AvantGarde Bk BT" w:cs="Arial"/>
          <w:i/>
          <w:color w:val="000000" w:themeColor="text1"/>
          <w:sz w:val="18"/>
          <w:szCs w:val="18"/>
        </w:rPr>
        <w:t xml:space="preserve"> La Universidad de Guadalajara se rige por lo dispuesto en el artículo 3º y demás relativos de la Constitución Política de los Estados Unidos Mexicanos; la particular del Estado de Jalisco; la legislación federal y estatal aplicables; </w:t>
      </w:r>
      <w:r w:rsidRPr="00052F55">
        <w:rPr>
          <w:rFonts w:ascii="AvantGarde Bk BT" w:hAnsi="AvantGarde Bk BT" w:cs="Arial"/>
          <w:b/>
          <w:i/>
          <w:color w:val="000000" w:themeColor="text1"/>
          <w:sz w:val="18"/>
          <w:szCs w:val="18"/>
        </w:rPr>
        <w:t>la presente Ley, y las normas que de la misma deriven</w:t>
      </w:r>
      <w:r w:rsidRPr="00052F55">
        <w:rPr>
          <w:rFonts w:ascii="AvantGarde Bk BT" w:hAnsi="AvantGarde Bk BT" w:cs="Arial"/>
          <w:i/>
          <w:color w:val="000000" w:themeColor="text1"/>
          <w:sz w:val="18"/>
          <w:szCs w:val="18"/>
        </w:rPr>
        <w:t xml:space="preserve">. </w:t>
      </w:r>
    </w:p>
    <w:p w:rsidR="00AF3062" w:rsidRPr="00052F55" w:rsidRDefault="00AF3062" w:rsidP="00AF3062">
      <w:pPr>
        <w:ind w:left="709" w:right="616"/>
        <w:jc w:val="both"/>
        <w:rPr>
          <w:rFonts w:ascii="AvantGarde Bk BT" w:hAnsi="AvantGarde Bk BT" w:cs="Arial"/>
          <w:i/>
          <w:color w:val="000000" w:themeColor="text1"/>
          <w:sz w:val="18"/>
          <w:szCs w:val="18"/>
        </w:rPr>
      </w:pPr>
    </w:p>
    <w:p w:rsidR="00AF3062" w:rsidRPr="00052F55" w:rsidRDefault="00AF3062" w:rsidP="00AF3062">
      <w:pPr>
        <w:ind w:left="709"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Para los efectos de esta Ley, cuando sus disposiciones se refieran a la Universidad, se entenderá que se trata de la Universidad de Guadalajara.</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 xml:space="preserve">Al respecto, el Congreso del Estado habilitó a la Universidad para emitir las disposiciones administrativas de observancia general (en el interior de la Universidad) que normen su funcionamiento. Lo anterior de conformidad con la Tesis Aislada No. 187183 que señala: </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ind w:left="708" w:right="616"/>
        <w:jc w:val="both"/>
        <w:rPr>
          <w:rFonts w:ascii="AvantGarde Bk BT" w:hAnsi="AvantGarde Bk BT" w:cs="Arial"/>
          <w:b/>
          <w:i/>
          <w:color w:val="000000" w:themeColor="text1"/>
          <w:sz w:val="18"/>
          <w:szCs w:val="18"/>
        </w:rPr>
      </w:pPr>
      <w:r w:rsidRPr="00052F55">
        <w:rPr>
          <w:rFonts w:ascii="AvantGarde Bk BT" w:hAnsi="AvantGarde Bk BT" w:cs="Arial"/>
          <w:b/>
          <w:i/>
          <w:color w:val="000000" w:themeColor="text1"/>
          <w:sz w:val="18"/>
          <w:szCs w:val="18"/>
        </w:rPr>
        <w:t>LEGISLACIÓN UNIVERSITARIA. LAS DISPOSICIONES ADMINISTRATIVAS DE OBSERVANCIA GENERAL QUE LA INTEGRAN SON PARTE DEL ORDEN JURÍDICO NACIONAL.</w:t>
      </w:r>
      <w:r w:rsidRPr="00052F55">
        <w:rPr>
          <w:rFonts w:ascii="AvantGarde Bk BT" w:hAnsi="AvantGarde Bk BT" w:cs="Arial"/>
          <w:b/>
          <w:i/>
          <w:color w:val="000000" w:themeColor="text1"/>
          <w:sz w:val="18"/>
          <w:szCs w:val="18"/>
          <w:vertAlign w:val="superscript"/>
        </w:rPr>
        <w:footnoteReference w:id="17"/>
      </w: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 xml:space="preserve">Con el fin de que las universidades públicas logren el pleno desarrollo de su autonomía, tanto el legislador federal como </w:t>
      </w:r>
      <w:r w:rsidRPr="00052F55">
        <w:rPr>
          <w:rFonts w:ascii="AvantGarde Bk BT" w:hAnsi="AvantGarde Bk BT" w:cs="Arial"/>
          <w:i/>
          <w:color w:val="000000" w:themeColor="text1"/>
          <w:sz w:val="18"/>
          <w:szCs w:val="18"/>
          <w:u w:val="single"/>
        </w:rPr>
        <w:t>las Legislaturas Locales tienen facultad para habilitar a determinados órganos de tales instituciones para emitir disposiciones administrativas de observancia general que, en complemento y al tenor de lo dispuesto en la Constitución General de la República y de las leyes respectivas, normen los términos y condiciones en que desarrollarán los servicios educativos que decidan prestar, los requisitos de ingreso, promoción y permanencia de su personal académico y la forma en que administrarán su patrimonio</w:t>
      </w:r>
      <w:r w:rsidRPr="00052F55">
        <w:rPr>
          <w:rFonts w:ascii="AvantGarde Bk BT" w:hAnsi="AvantGarde Bk BT" w:cs="Arial"/>
          <w:i/>
          <w:color w:val="000000" w:themeColor="text1"/>
          <w:sz w:val="18"/>
          <w:szCs w:val="18"/>
        </w:rPr>
        <w:t>, es decir, regulan el funcionamiento interno de dichas instituciones y establecen derechos y obligaciones que han de regir las relaciones con los servidores públicos que encarnan los órganos que las componen y con los gobernados con los que entablan relaciones jurídicas de diversa índole; no obstante, tales disposiciones administrativas están sujetas al principio de preferencia o primacía de la ley, por lo que la regulación contenida en ellas no puede derogar, limitar o excluir lo dispuesto en un acto formalmente legislativo.</w:t>
      </w:r>
    </w:p>
    <w:p w:rsidR="00AF3062" w:rsidRPr="00052F55" w:rsidRDefault="00AF3062" w:rsidP="00AF3062">
      <w:pPr>
        <w:rPr>
          <w:rFonts w:ascii="AvantGarde Bk BT" w:hAnsi="AvantGarde Bk BT" w:cs="Arial"/>
          <w:i/>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bCs/>
          <w:color w:val="000000" w:themeColor="text1"/>
          <w:sz w:val="22"/>
          <w:szCs w:val="22"/>
        </w:rPr>
        <w:t xml:space="preserve">De tal forma que, la Universidad de Guadalajara está facultada para establecer </w:t>
      </w:r>
      <w:r w:rsidRPr="00052F55">
        <w:rPr>
          <w:rFonts w:ascii="AvantGarde Bk BT" w:hAnsi="AvantGarde Bk BT" w:cs="Arial"/>
          <w:color w:val="000000" w:themeColor="text1"/>
          <w:sz w:val="22"/>
          <w:szCs w:val="22"/>
        </w:rPr>
        <w:t>disposiciones normativas, y lo anterior, se refuerza con lo establecido en la fracción I del artículo 6 de la Ley Orgánica de la Universidad de Guadalajara que señala lo siguiente:</w:t>
      </w:r>
    </w:p>
    <w:p w:rsidR="00AF3062" w:rsidRPr="00052F55" w:rsidRDefault="00AF3062" w:rsidP="00AF3062">
      <w:pPr>
        <w:rPr>
          <w:rFonts w:ascii="AvantGarde Bk BT" w:hAnsi="AvantGarde Bk BT" w:cs="Arial"/>
          <w:b/>
          <w:i/>
          <w:color w:val="000000" w:themeColor="text1"/>
          <w:sz w:val="22"/>
          <w:szCs w:val="22"/>
        </w:rPr>
      </w:pPr>
    </w:p>
    <w:p w:rsidR="00AF3062" w:rsidRPr="00052F55" w:rsidRDefault="00AF3062" w:rsidP="00AF3062">
      <w:pPr>
        <w:rPr>
          <w:rFonts w:ascii="AvantGarde Bk BT" w:hAnsi="AvantGarde Bk BT" w:cs="Arial"/>
          <w:b/>
          <w:i/>
          <w:color w:val="000000" w:themeColor="text1"/>
          <w:sz w:val="22"/>
          <w:szCs w:val="22"/>
        </w:rPr>
      </w:pP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b/>
          <w:i/>
          <w:color w:val="000000" w:themeColor="text1"/>
          <w:sz w:val="18"/>
          <w:szCs w:val="18"/>
        </w:rPr>
        <w:t>Artículo 6.</w:t>
      </w:r>
      <w:r w:rsidRPr="00052F55">
        <w:rPr>
          <w:rFonts w:ascii="AvantGarde Bk BT" w:hAnsi="AvantGarde Bk BT" w:cs="Arial"/>
          <w:i/>
          <w:color w:val="000000" w:themeColor="text1"/>
          <w:sz w:val="18"/>
          <w:szCs w:val="18"/>
        </w:rPr>
        <w:t xml:space="preserve"> Son atribuciones de la Universidad: </w:t>
      </w:r>
    </w:p>
    <w:p w:rsidR="00AF3062" w:rsidRPr="00052F55" w:rsidRDefault="00AF3062" w:rsidP="00AF3062">
      <w:pPr>
        <w:ind w:left="708" w:right="616"/>
        <w:jc w:val="both"/>
        <w:rPr>
          <w:rFonts w:ascii="AvantGarde Bk BT" w:hAnsi="AvantGarde Bk BT" w:cs="Arial"/>
          <w:i/>
          <w:color w:val="000000" w:themeColor="text1"/>
          <w:sz w:val="18"/>
          <w:szCs w:val="18"/>
        </w:rPr>
      </w:pPr>
    </w:p>
    <w:p w:rsidR="00AF3062" w:rsidRPr="00052F55" w:rsidRDefault="00AF3062" w:rsidP="00AF3062">
      <w:pPr>
        <w:ind w:left="708" w:right="616"/>
        <w:jc w:val="both"/>
        <w:rPr>
          <w:rFonts w:ascii="AvantGarde Bk BT" w:hAnsi="AvantGarde Bk BT" w:cs="Arial"/>
          <w:i/>
          <w:color w:val="000000" w:themeColor="text1"/>
          <w:sz w:val="22"/>
          <w:szCs w:val="22"/>
        </w:rPr>
      </w:pPr>
      <w:r w:rsidRPr="00052F55">
        <w:rPr>
          <w:rFonts w:ascii="AvantGarde Bk BT" w:hAnsi="AvantGarde Bk BT" w:cs="Arial"/>
          <w:i/>
          <w:color w:val="000000" w:themeColor="text1"/>
          <w:sz w:val="18"/>
          <w:szCs w:val="18"/>
        </w:rPr>
        <w:t xml:space="preserve">I. Elaborar los </w:t>
      </w:r>
      <w:r w:rsidRPr="00052F55">
        <w:rPr>
          <w:rFonts w:ascii="AvantGarde Bk BT" w:hAnsi="AvantGarde Bk BT" w:cs="Arial"/>
          <w:b/>
          <w:i/>
          <w:color w:val="000000" w:themeColor="text1"/>
          <w:sz w:val="18"/>
          <w:szCs w:val="18"/>
        </w:rPr>
        <w:t>estatutos y demás normas</w:t>
      </w:r>
      <w:r w:rsidRPr="00052F55">
        <w:rPr>
          <w:rFonts w:ascii="AvantGarde Bk BT" w:hAnsi="AvantGarde Bk BT" w:cs="Arial"/>
          <w:i/>
          <w:color w:val="000000" w:themeColor="text1"/>
          <w:sz w:val="18"/>
          <w:szCs w:val="18"/>
        </w:rPr>
        <w:t xml:space="preserve"> que regulen su funcionamiento interno, conforme las disposiciones de la presente Ley y demás ordenamientos federales y estatales aplicables en materia de educación; …</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En concreto, la propia Ley Orgánica establece en su artículo 20, respecto de los requisitos de ingreso, lo siguiente:</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ind w:left="708" w:right="616"/>
        <w:jc w:val="both"/>
        <w:rPr>
          <w:rFonts w:ascii="AvantGarde Bk BT" w:hAnsi="AvantGarde Bk BT" w:cs="Arial"/>
          <w:color w:val="000000" w:themeColor="text1"/>
          <w:sz w:val="18"/>
          <w:szCs w:val="18"/>
        </w:rPr>
      </w:pPr>
      <w:r w:rsidRPr="00052F55">
        <w:rPr>
          <w:rFonts w:ascii="AvantGarde Bk BT" w:hAnsi="AvantGarde Bk BT" w:cs="Arial"/>
          <w:b/>
          <w:bCs/>
          <w:i/>
          <w:color w:val="000000" w:themeColor="text1"/>
          <w:sz w:val="18"/>
          <w:szCs w:val="18"/>
        </w:rPr>
        <w:t>Artículo 20.</w:t>
      </w:r>
      <w:r w:rsidRPr="00052F55">
        <w:rPr>
          <w:rFonts w:ascii="AvantGarde Bk BT" w:hAnsi="AvantGarde Bk BT" w:cs="Arial"/>
          <w:i/>
          <w:color w:val="000000" w:themeColor="text1"/>
          <w:sz w:val="18"/>
          <w:szCs w:val="18"/>
        </w:rPr>
        <w:t xml:space="preserve"> Se considerará alumno a todo aquél que, </w:t>
      </w:r>
      <w:r w:rsidRPr="00052F55">
        <w:rPr>
          <w:rFonts w:ascii="AvantGarde Bk BT" w:hAnsi="AvantGarde Bk BT" w:cs="Arial"/>
          <w:b/>
          <w:bCs/>
          <w:i/>
          <w:color w:val="000000" w:themeColor="text1"/>
          <w:sz w:val="18"/>
          <w:szCs w:val="18"/>
        </w:rPr>
        <w:t>cumpliendo los requisitos de ingreso establecidos por la normatividad aplicable</w:t>
      </w:r>
      <w:r w:rsidRPr="00052F55">
        <w:rPr>
          <w:rFonts w:ascii="AvantGarde Bk BT" w:hAnsi="AvantGarde Bk BT" w:cs="Arial"/>
          <w:i/>
          <w:color w:val="000000" w:themeColor="text1"/>
          <w:sz w:val="18"/>
          <w:szCs w:val="18"/>
        </w:rPr>
        <w:t>, haya sido admitido por la autoridad competente y se encuentre inscrito en alguno de los programas académicos de la Universidad.</w:t>
      </w:r>
    </w:p>
    <w:p w:rsidR="00AF3062" w:rsidRPr="00052F55" w:rsidRDefault="00AF3062" w:rsidP="00AF3062">
      <w:pPr>
        <w:rPr>
          <w:rFonts w:ascii="AvantGarde Bk BT" w:hAnsi="AvantGarde Bk BT" w:cs="Arial"/>
          <w:b/>
          <w:bCs/>
          <w:color w:val="000000" w:themeColor="text1"/>
          <w:sz w:val="22"/>
          <w:szCs w:val="22"/>
          <w:lang w:val="es-ES"/>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lang w:val="es-ES"/>
        </w:rPr>
        <w:t xml:space="preserve">De lo anterior, se puede concluir que la Universidad de Guadalajara está facultada para establecer </w:t>
      </w:r>
      <w:r w:rsidRPr="00052F55">
        <w:rPr>
          <w:rFonts w:ascii="AvantGarde Bk BT" w:hAnsi="AvantGarde Bk BT" w:cs="Arial"/>
          <w:color w:val="000000" w:themeColor="text1"/>
          <w:sz w:val="22"/>
          <w:szCs w:val="22"/>
        </w:rPr>
        <w:t xml:space="preserve">en su normatividad aplicable, los requisitos de ingreso a la Institución, situación que realizó el H. Consejo General Universitario, mediante el Dictamen No. 7648, en el que se aprobó el Reglamento General de Ingreso de Alumnos (RGIA). </w:t>
      </w: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El RGIA prevé en su artículo 2 que</w:t>
      </w:r>
      <w:r w:rsidRPr="00052F55">
        <w:rPr>
          <w:rFonts w:ascii="AvantGarde Bk BT" w:hAnsi="AvantGarde Bk BT" w:cs="Arial"/>
          <w:bCs/>
          <w:color w:val="000000" w:themeColor="text1"/>
          <w:sz w:val="22"/>
          <w:szCs w:val="22"/>
          <w:lang w:val="es-ES_tradnl"/>
        </w:rPr>
        <w:t>,</w:t>
      </w:r>
      <w:r w:rsidRPr="00052F55">
        <w:rPr>
          <w:rFonts w:ascii="AvantGarde Bk BT" w:hAnsi="AvantGarde Bk BT" w:cs="Arial"/>
          <w:color w:val="000000" w:themeColor="text1"/>
          <w:sz w:val="22"/>
          <w:szCs w:val="22"/>
        </w:rPr>
        <w:t xml:space="preserve"> para ingresar como alumno de la Universidad de Guadalajara, los interesados deberán sujetarse al proceso de selección que con este fin lleve a cabo la Institución para el nivel correspondiente, así como cumplir con las demás condiciones y requisitos que se establezcan con el mismo propósito.</w:t>
      </w: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Que el artículo 3 del RGIA, señala que se considera como aspirante a la persona que realiza formalmente todos los trámites para ingresar a la Universidad.</w:t>
      </w:r>
    </w:p>
    <w:p w:rsidR="00AF3062" w:rsidRPr="00710285" w:rsidRDefault="00AF3062" w:rsidP="00710285">
      <w:pPr>
        <w:rPr>
          <w:rFonts w:ascii="AvantGarde Bk BT" w:eastAsia="Questrial"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Asimismo, el RGIA prevé dentro de los requisitos para el ingreso a la Universidad de Guadalajara, el establecido en la fracción IV en su artículo 8, a saber:</w:t>
      </w: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rPr>
      </w:pPr>
    </w:p>
    <w:p w:rsidR="00AF3062" w:rsidRPr="00052F55" w:rsidRDefault="00AF3062" w:rsidP="00AF3062">
      <w:pPr>
        <w:pStyle w:val="Prrafodelista"/>
        <w:ind w:left="360" w:firstLine="348"/>
        <w:contextualSpacing/>
        <w:jc w:val="both"/>
        <w:rPr>
          <w:rFonts w:ascii="AvantGarde Bk BT" w:hAnsi="AvantGarde Bk BT" w:cs="Arial"/>
          <w:i/>
          <w:iCs/>
          <w:color w:val="000000" w:themeColor="text1"/>
          <w:sz w:val="20"/>
          <w:szCs w:val="20"/>
        </w:rPr>
      </w:pPr>
      <w:r w:rsidRPr="00052F55">
        <w:rPr>
          <w:rFonts w:ascii="AvantGarde Bk BT" w:hAnsi="AvantGarde Bk BT" w:cs="Arial"/>
          <w:i/>
          <w:iCs/>
          <w:color w:val="000000" w:themeColor="text1"/>
          <w:sz w:val="20"/>
          <w:szCs w:val="20"/>
        </w:rPr>
        <w:t>I al III…</w:t>
      </w:r>
    </w:p>
    <w:p w:rsidR="00AF3062" w:rsidRPr="00052F55" w:rsidRDefault="00AF3062" w:rsidP="00AF3062">
      <w:pPr>
        <w:pStyle w:val="Prrafodelista"/>
        <w:ind w:left="360" w:firstLine="348"/>
        <w:contextualSpacing/>
        <w:jc w:val="both"/>
        <w:rPr>
          <w:rFonts w:ascii="AvantGarde Bk BT" w:hAnsi="AvantGarde Bk BT" w:cs="Arial"/>
          <w:i/>
          <w:iCs/>
          <w:color w:val="000000" w:themeColor="text1"/>
          <w:sz w:val="20"/>
          <w:szCs w:val="20"/>
        </w:rPr>
      </w:pPr>
      <w:r w:rsidRPr="00052F55">
        <w:rPr>
          <w:rFonts w:ascii="AvantGarde Bk BT" w:hAnsi="AvantGarde Bk BT" w:cs="Arial"/>
          <w:i/>
          <w:iCs/>
          <w:color w:val="000000" w:themeColor="text1"/>
          <w:sz w:val="20"/>
          <w:szCs w:val="20"/>
        </w:rPr>
        <w:t xml:space="preserve">IV.  </w:t>
      </w:r>
      <w:r w:rsidRPr="00052F55">
        <w:rPr>
          <w:rFonts w:ascii="AvantGarde Bk BT" w:hAnsi="AvantGarde Bk BT" w:cs="Arial"/>
          <w:i/>
          <w:iCs/>
          <w:color w:val="000000" w:themeColor="text1"/>
          <w:sz w:val="20"/>
          <w:szCs w:val="20"/>
        </w:rPr>
        <w:tab/>
        <w:t>Presentar los exámenes previstos en el artículo 14 de este ordenamiento;</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lang w:val="es-ES"/>
        </w:rPr>
        <w:t>El</w:t>
      </w:r>
      <w:r w:rsidRPr="00052F55">
        <w:rPr>
          <w:rFonts w:ascii="AvantGarde Bk BT" w:hAnsi="AvantGarde Bk BT" w:cs="Arial"/>
          <w:color w:val="000000" w:themeColor="text1"/>
          <w:sz w:val="22"/>
          <w:szCs w:val="22"/>
        </w:rPr>
        <w:t xml:space="preserve"> RGIA además de establecer los criterios, requisitos y procedimientos para la admisión de los alumnos a la Universidad de Guadalajara, establece la facultad para que el H. Consejo General Universitario, apruebe programas especiales que determinen condiciones específicas respecto del ingreso de alumnos, conforme a lo siguiente:</w:t>
      </w:r>
    </w:p>
    <w:p w:rsidR="00AF3062" w:rsidRPr="00052F55" w:rsidRDefault="00AF3062" w:rsidP="00AF3062">
      <w:pPr>
        <w:rPr>
          <w:rFonts w:ascii="AvantGarde Bk BT" w:hAnsi="AvantGarde Bk BT" w:cs="Arial"/>
          <w:color w:val="000000" w:themeColor="text1"/>
          <w:sz w:val="22"/>
          <w:szCs w:val="22"/>
        </w:rPr>
      </w:pP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b/>
          <w:bCs/>
          <w:i/>
          <w:color w:val="000000" w:themeColor="text1"/>
          <w:sz w:val="18"/>
          <w:szCs w:val="18"/>
        </w:rPr>
        <w:t>Artículo 9 Bis1.</w:t>
      </w:r>
      <w:r w:rsidRPr="00052F55">
        <w:rPr>
          <w:rFonts w:ascii="AvantGarde Bk BT" w:hAnsi="AvantGarde Bk BT" w:cs="Arial"/>
          <w:i/>
          <w:color w:val="000000" w:themeColor="text1"/>
          <w:sz w:val="18"/>
          <w:szCs w:val="18"/>
        </w:rPr>
        <w:t xml:space="preserve"> El Consejo General Universitario, a efecto de garantizar el derecho a la educación en un plano de igualdad, podrá aprobar, para cualquier nivel y modalidad educativa, programas especiales que determinen condiciones específicas respecto del ingreso de alumnos, por lo que podrá adicionar o dispensar alguno de los requisitos señalados en el artículo 8 del presente Reglamento.</w:t>
      </w:r>
    </w:p>
    <w:p w:rsidR="00AF3062" w:rsidRPr="00052F55" w:rsidRDefault="00AF3062" w:rsidP="00AF3062">
      <w:pPr>
        <w:rPr>
          <w:rFonts w:ascii="AvantGarde Bk BT" w:hAnsi="AvantGarde Bk BT" w:cs="Arial"/>
          <w:b/>
          <w:bCs/>
          <w:color w:val="000000" w:themeColor="text1"/>
          <w:sz w:val="22"/>
          <w:szCs w:val="22"/>
          <w:lang w:val="es-ES"/>
        </w:rPr>
      </w:pPr>
    </w:p>
    <w:p w:rsidR="00AF3062" w:rsidRPr="00052F55" w:rsidRDefault="00AF3062" w:rsidP="00AF3062">
      <w:pPr>
        <w:pStyle w:val="Prrafodelista"/>
        <w:numPr>
          <w:ilvl w:val="0"/>
          <w:numId w:val="3"/>
        </w:numPr>
        <w:contextualSpacing/>
        <w:jc w:val="both"/>
        <w:rPr>
          <w:rFonts w:ascii="AvantGarde Bk BT" w:hAnsi="AvantGarde Bk BT" w:cs="Arial"/>
          <w:i/>
          <w:iCs/>
          <w:color w:val="000000" w:themeColor="text1"/>
          <w:sz w:val="21"/>
          <w:szCs w:val="21"/>
          <w:lang w:val="es-ES"/>
        </w:rPr>
      </w:pPr>
      <w:r w:rsidRPr="00052F55">
        <w:rPr>
          <w:rFonts w:ascii="AvantGarde Bk BT" w:hAnsi="AvantGarde Bk BT" w:cs="Arial"/>
          <w:color w:val="000000" w:themeColor="text1"/>
          <w:sz w:val="22"/>
          <w:szCs w:val="22"/>
          <w:lang w:val="es-ES"/>
        </w:rPr>
        <w:t xml:space="preserve">En este sentido, el H. Consejo General Universitario resolvió aprobar el dictamen I/2020/500, </w:t>
      </w:r>
      <w:r w:rsidRPr="00052F55">
        <w:rPr>
          <w:rFonts w:ascii="AvantGarde Bk BT" w:hAnsi="AvantGarde Bk BT" w:cs="Arial"/>
          <w:color w:val="000000" w:themeColor="text1"/>
          <w:sz w:val="22"/>
          <w:szCs w:val="22"/>
          <w:lang w:val="es-ES_tradnl"/>
        </w:rPr>
        <w:t xml:space="preserve">mediante el cual se </w:t>
      </w:r>
      <w:r w:rsidRPr="00052F55">
        <w:rPr>
          <w:rFonts w:ascii="AvantGarde Bk BT" w:hAnsi="AvantGarde Bk BT"/>
          <w:bCs/>
          <w:color w:val="000000" w:themeColor="text1"/>
          <w:sz w:val="22"/>
          <w:szCs w:val="22"/>
          <w:lang w:val="es-ES_tradnl" w:eastAsia="es-MX"/>
        </w:rPr>
        <w:t xml:space="preserve">aprueba el </w:t>
      </w:r>
      <w:r w:rsidRPr="00052F55">
        <w:rPr>
          <w:rFonts w:ascii="AvantGarde Bk BT" w:hAnsi="AvantGarde Bk BT" w:cs="Arial"/>
          <w:color w:val="000000" w:themeColor="text1"/>
          <w:sz w:val="22"/>
          <w:szCs w:val="22"/>
          <w:lang w:val="es-ES"/>
        </w:rPr>
        <w:t xml:space="preserve">Programa Especial de Atención a Aspirantes de Primer Ingreso a la Universidad de Guadalajara en el ciclo escolar </w:t>
      </w:r>
      <w:r w:rsidRPr="00052F55">
        <w:rPr>
          <w:rFonts w:ascii="AvantGarde Bk BT" w:hAnsi="AvantGarde Bk BT" w:cs="Arial"/>
          <w:color w:val="000000" w:themeColor="text1"/>
          <w:sz w:val="22"/>
          <w:szCs w:val="22"/>
          <w:lang w:val="es-ES_tradnl"/>
        </w:rPr>
        <w:t xml:space="preserve">2021 “A”, </w:t>
      </w:r>
      <w:r w:rsidRPr="00052F55">
        <w:rPr>
          <w:rFonts w:ascii="AvantGarde Bk BT" w:hAnsi="AvantGarde Bk BT"/>
          <w:color w:val="000000" w:themeColor="text1"/>
          <w:sz w:val="22"/>
          <w:szCs w:val="22"/>
          <w:lang w:val="es-ES_tradnl"/>
        </w:rPr>
        <w:t xml:space="preserve">implementado para disminuir el impacto de la Pandemia del </w:t>
      </w:r>
      <w:proofErr w:type="spellStart"/>
      <w:r w:rsidRPr="00052F55">
        <w:rPr>
          <w:rFonts w:ascii="AvantGarde Bk BT" w:hAnsi="AvantGarde Bk BT"/>
          <w:color w:val="000000" w:themeColor="text1"/>
          <w:sz w:val="22"/>
          <w:szCs w:val="22"/>
          <w:lang w:val="es-ES_tradnl"/>
        </w:rPr>
        <w:t>Covid</w:t>
      </w:r>
      <w:proofErr w:type="spellEnd"/>
      <w:r w:rsidRPr="00052F55">
        <w:rPr>
          <w:rFonts w:ascii="AvantGarde Bk BT" w:hAnsi="AvantGarde Bk BT"/>
          <w:color w:val="000000" w:themeColor="text1"/>
          <w:sz w:val="22"/>
          <w:szCs w:val="22"/>
          <w:lang w:val="es-ES_tradnl"/>
        </w:rPr>
        <w:t>-19.</w:t>
      </w:r>
    </w:p>
    <w:p w:rsidR="00AF3062" w:rsidRPr="00052F55" w:rsidRDefault="00AF3062" w:rsidP="00AF3062">
      <w:pPr>
        <w:contextualSpacing/>
        <w:jc w:val="both"/>
        <w:rPr>
          <w:rFonts w:ascii="AvantGarde Bk BT" w:hAnsi="AvantGarde Bk BT" w:cs="Arial"/>
          <w:i/>
          <w:iCs/>
          <w:color w:val="000000" w:themeColor="text1"/>
          <w:sz w:val="21"/>
          <w:szCs w:val="21"/>
          <w:lang w:val="es-ES"/>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
        </w:rPr>
        <w:t xml:space="preserve">En el Resolutivo Segundo del dictamen I/2020/500, se estableció la posibilidad de que </w:t>
      </w:r>
      <w:r w:rsidRPr="00052F55">
        <w:rPr>
          <w:rFonts w:ascii="AvantGarde Bk BT" w:hAnsi="AvantGarde Bk BT" w:cs="Arial"/>
          <w:color w:val="000000" w:themeColor="text1"/>
          <w:sz w:val="22"/>
          <w:szCs w:val="22"/>
        </w:rPr>
        <w:t>la Comisión Permanente de Educación del Consejo de Centro Universitario o Sistema correspondiente, pudieran eximir o incluir requisitos de ingreso conforme a lo siguiente:</w:t>
      </w:r>
    </w:p>
    <w:p w:rsidR="00AF3062" w:rsidRPr="00052F55" w:rsidRDefault="00AF3062" w:rsidP="00AF3062">
      <w:pPr>
        <w:contextualSpacing/>
        <w:jc w:val="both"/>
        <w:rPr>
          <w:rFonts w:ascii="AvantGarde Bk BT" w:hAnsi="AvantGarde Bk BT" w:cs="Arial"/>
          <w:color w:val="000000" w:themeColor="text1"/>
          <w:sz w:val="22"/>
          <w:szCs w:val="22"/>
          <w:lang w:val="es-ES_tradnl"/>
        </w:rPr>
      </w:pP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b/>
          <w:bCs/>
          <w:i/>
          <w:color w:val="000000" w:themeColor="text1"/>
          <w:sz w:val="18"/>
          <w:szCs w:val="18"/>
        </w:rPr>
        <w:t>SEGUNDO.</w:t>
      </w:r>
      <w:r w:rsidRPr="00052F55">
        <w:rPr>
          <w:rFonts w:ascii="AvantGarde Bk BT" w:hAnsi="AvantGarde Bk BT" w:cs="Arial"/>
          <w:i/>
          <w:color w:val="000000" w:themeColor="text1"/>
          <w:sz w:val="18"/>
          <w:szCs w:val="18"/>
        </w:rPr>
        <w:t xml:space="preserve"> De ser necesario, y en atención a las circunstancias particulares del caso, para el ciclo escolar 2021 “A”, la Comisión de Educación del Consejo de Centro Universitario o Sistema correspondiente, podrá determinar la posibilidad de: </w:t>
      </w:r>
    </w:p>
    <w:p w:rsidR="00AF3062" w:rsidRPr="00052F55" w:rsidRDefault="00AF3062" w:rsidP="00AF3062">
      <w:pPr>
        <w:ind w:left="708" w:right="616"/>
        <w:jc w:val="both"/>
        <w:rPr>
          <w:rFonts w:ascii="AvantGarde Bk BT" w:hAnsi="AvantGarde Bk BT" w:cs="Arial"/>
          <w:i/>
          <w:color w:val="000000" w:themeColor="text1"/>
          <w:sz w:val="18"/>
          <w:szCs w:val="18"/>
        </w:rPr>
      </w:pPr>
    </w:p>
    <w:p w:rsidR="00AF3062" w:rsidRPr="00052F55" w:rsidRDefault="00AF3062" w:rsidP="00AF3062">
      <w:pPr>
        <w:pStyle w:val="Prrafodelista"/>
        <w:numPr>
          <w:ilvl w:val="1"/>
          <w:numId w:val="4"/>
        </w:numPr>
        <w:ind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Eximir el cumplimiento de cualquier otro requisito de ingreso previsto en la norma o el plan de estudios correspondiente, y/o</w:t>
      </w:r>
    </w:p>
    <w:p w:rsidR="00AF3062" w:rsidRPr="00052F55" w:rsidRDefault="00AF3062" w:rsidP="00AF3062">
      <w:pPr>
        <w:pStyle w:val="Prrafodelista"/>
        <w:numPr>
          <w:ilvl w:val="1"/>
          <w:numId w:val="4"/>
        </w:numPr>
        <w:ind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Incluir algún otro requisito de ingreso, como podrían ser exámenes específicos de aptitud, conocimientos y/o habilidades, por programa educativo.</w:t>
      </w:r>
    </w:p>
    <w:p w:rsidR="00AF3062" w:rsidRPr="00052F55" w:rsidRDefault="00AF3062" w:rsidP="00AF3062">
      <w:pPr>
        <w:ind w:left="708" w:right="616"/>
        <w:jc w:val="both"/>
        <w:rPr>
          <w:rFonts w:ascii="AvantGarde Bk BT" w:hAnsi="AvantGarde Bk BT" w:cs="Arial"/>
          <w:i/>
          <w:color w:val="000000" w:themeColor="text1"/>
          <w:sz w:val="18"/>
          <w:szCs w:val="18"/>
        </w:rPr>
      </w:pPr>
    </w:p>
    <w:p w:rsidR="00AF3062" w:rsidRPr="00052F55" w:rsidRDefault="00AF3062" w:rsidP="00AF3062">
      <w:pPr>
        <w:ind w:left="708" w:right="616"/>
        <w:jc w:val="both"/>
        <w:rPr>
          <w:rFonts w:ascii="AvantGarde Bk BT" w:hAnsi="AvantGarde Bk BT" w:cs="Arial"/>
          <w:i/>
          <w:color w:val="000000" w:themeColor="text1"/>
          <w:sz w:val="18"/>
          <w:szCs w:val="18"/>
        </w:rPr>
      </w:pPr>
      <w:r w:rsidRPr="00052F55">
        <w:rPr>
          <w:rFonts w:ascii="AvantGarde Bk BT" w:hAnsi="AvantGarde Bk BT" w:cs="Arial"/>
          <w:i/>
          <w:color w:val="000000" w:themeColor="text1"/>
          <w:sz w:val="18"/>
          <w:szCs w:val="18"/>
        </w:rPr>
        <w:t>En cualquier caso, dicha Comisión tendrá la obligación de informar a las Comisiones Permanentes de Educación y de Normatividad del Consejo General Universitario.</w:t>
      </w:r>
    </w:p>
    <w:p w:rsidR="00AF3062" w:rsidRDefault="00AF3062" w:rsidP="00AF3062">
      <w:pPr>
        <w:rPr>
          <w:rFonts w:ascii="AvantGarde Bk BT" w:hAnsi="AvantGarde Bk BT" w:cs="Arial"/>
          <w:b/>
          <w:bCs/>
          <w:color w:val="000000" w:themeColor="text1"/>
          <w:sz w:val="22"/>
          <w:szCs w:val="22"/>
          <w:lang w:val="es-ES_tradnl"/>
        </w:rPr>
      </w:pPr>
      <w:r>
        <w:rPr>
          <w:rFonts w:ascii="AvantGarde Bk BT" w:hAnsi="AvantGarde Bk BT" w:cs="Arial"/>
          <w:b/>
          <w:bCs/>
          <w:color w:val="000000" w:themeColor="text1"/>
          <w:sz w:val="22"/>
          <w:szCs w:val="22"/>
          <w:lang w:val="es-ES_tradnl"/>
        </w:rPr>
        <w:br w:type="page"/>
      </w:r>
    </w:p>
    <w:p w:rsidR="00AF3062" w:rsidRPr="00052F55" w:rsidRDefault="00AF3062" w:rsidP="00AF3062">
      <w:pPr>
        <w:rPr>
          <w:rFonts w:ascii="AvantGarde Bk BT" w:hAnsi="AvantGarde Bk BT" w:cs="Arial"/>
          <w:b/>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
        </w:rPr>
      </w:pPr>
      <w:r w:rsidRPr="00052F55">
        <w:rPr>
          <w:rFonts w:ascii="AvantGarde Bk BT" w:hAnsi="AvantGarde Bk BT" w:cs="Arial"/>
          <w:color w:val="000000" w:themeColor="text1"/>
          <w:sz w:val="22"/>
          <w:szCs w:val="22"/>
          <w:lang w:val="es-ES"/>
        </w:rPr>
        <w:t xml:space="preserve">Es importante considerar que inicialmente se tenía previsto que la aplicación única del examen de admisión para los Centros Universitarios sería el sábado 07 de noviembre de 2020, sin embargo, debido a la pandemia, se planteó la necesidad de instrumentar diversas acciones que facilitaran el cumplimiento de las medidas sanitarias recomendadas por la Sala de Situación en Salud, y evitar así, la propagación del virus </w:t>
      </w:r>
      <w:proofErr w:type="spellStart"/>
      <w:r w:rsidRPr="00052F55">
        <w:rPr>
          <w:rFonts w:ascii="AvantGarde Bk BT" w:hAnsi="AvantGarde Bk BT" w:cs="Arial"/>
          <w:color w:val="000000" w:themeColor="text1"/>
          <w:sz w:val="22"/>
          <w:szCs w:val="22"/>
          <w:lang w:val="es-ES"/>
        </w:rPr>
        <w:t>SARS</w:t>
      </w:r>
      <w:proofErr w:type="spellEnd"/>
      <w:r w:rsidRPr="00052F55">
        <w:rPr>
          <w:rFonts w:ascii="AvantGarde Bk BT" w:hAnsi="AvantGarde Bk BT" w:cs="Arial"/>
          <w:color w:val="000000" w:themeColor="text1"/>
          <w:sz w:val="22"/>
          <w:szCs w:val="22"/>
          <w:lang w:val="es-ES"/>
        </w:rPr>
        <w:t>-</w:t>
      </w:r>
      <w:proofErr w:type="spellStart"/>
      <w:r w:rsidRPr="00052F55">
        <w:rPr>
          <w:rFonts w:ascii="AvantGarde Bk BT" w:hAnsi="AvantGarde Bk BT" w:cs="Arial"/>
          <w:color w:val="000000" w:themeColor="text1"/>
          <w:sz w:val="22"/>
          <w:szCs w:val="22"/>
          <w:lang w:val="es-ES"/>
        </w:rPr>
        <w:t>CoV</w:t>
      </w:r>
      <w:proofErr w:type="spellEnd"/>
      <w:r w:rsidRPr="00052F55">
        <w:rPr>
          <w:rFonts w:ascii="AvantGarde Bk BT" w:hAnsi="AvantGarde Bk BT" w:cs="Arial"/>
          <w:color w:val="000000" w:themeColor="text1"/>
          <w:sz w:val="22"/>
          <w:szCs w:val="22"/>
          <w:lang w:val="es-ES"/>
        </w:rPr>
        <w:t>-2 (</w:t>
      </w:r>
      <w:proofErr w:type="spellStart"/>
      <w:r w:rsidRPr="00052F55">
        <w:rPr>
          <w:rFonts w:ascii="AvantGarde Bk BT" w:hAnsi="AvantGarde Bk BT" w:cs="Arial"/>
          <w:color w:val="000000" w:themeColor="text1"/>
          <w:sz w:val="22"/>
          <w:szCs w:val="22"/>
          <w:lang w:val="es-ES"/>
        </w:rPr>
        <w:t>COVID</w:t>
      </w:r>
      <w:proofErr w:type="spellEnd"/>
      <w:r w:rsidRPr="00052F55">
        <w:rPr>
          <w:rFonts w:ascii="AvantGarde Bk BT" w:hAnsi="AvantGarde Bk BT" w:cs="Arial"/>
          <w:color w:val="000000" w:themeColor="text1"/>
          <w:sz w:val="22"/>
          <w:szCs w:val="22"/>
          <w:lang w:val="es-ES"/>
        </w:rPr>
        <w:t>-19) y debido a la activación del “Botón de Emergencia” en todo el estado de Jalisco, fue necesario establecer nuevas fechas para la aplicación del examen de ingreso a los aspirantes al nivel licenciatura, por lo que este se llevó a cabo los días 19, 20 y 21 de noviembre de 2020.</w:t>
      </w:r>
    </w:p>
    <w:p w:rsidR="00AF3062" w:rsidRPr="00052F55" w:rsidRDefault="00AF3062" w:rsidP="00AF3062">
      <w:pPr>
        <w:pStyle w:val="Prrafodelista"/>
        <w:ind w:left="1134"/>
        <w:jc w:val="both"/>
        <w:rPr>
          <w:rFonts w:ascii="AvantGarde Bk BT" w:eastAsia="Questrial"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
        </w:rPr>
      </w:pPr>
      <w:r w:rsidRPr="00052F55">
        <w:rPr>
          <w:rFonts w:ascii="AvantGarde Bk BT" w:hAnsi="AvantGarde Bk BT" w:cs="Arial"/>
          <w:color w:val="000000" w:themeColor="text1"/>
          <w:sz w:val="22"/>
          <w:szCs w:val="22"/>
          <w:lang w:val="es-ES"/>
        </w:rPr>
        <w:t>Derivado de la grave situación que se presentó, como fue la filtración de una sección del examen en redes sociales, y con el fin de garantizar un proceso de admisión justo, transparente y equitativo para todas y todos los aspirantes, el examen de admisión programado los días 19, 20 y 21 de noviembre de 2020, quedó invalidado por parte de las autoridades universitarias.</w:t>
      </w: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lang w:val="es-ES"/>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
        </w:rPr>
      </w:pPr>
      <w:r w:rsidRPr="00052F55">
        <w:rPr>
          <w:rFonts w:ascii="AvantGarde Bk BT" w:hAnsi="AvantGarde Bk BT" w:cs="Arial"/>
          <w:color w:val="000000" w:themeColor="text1"/>
          <w:sz w:val="22"/>
          <w:szCs w:val="22"/>
          <w:lang w:val="es-ES"/>
        </w:rPr>
        <w:t xml:space="preserve">La aplicación de dicho examen se reprogramó para el día 06 de febrero de 2021, debido a las circunstancias en las que nos encontramos por la pandemia de </w:t>
      </w:r>
      <w:proofErr w:type="spellStart"/>
      <w:r w:rsidRPr="00052F55">
        <w:rPr>
          <w:rFonts w:ascii="AvantGarde Bk BT" w:hAnsi="AvantGarde Bk BT" w:cs="Arial"/>
          <w:color w:val="000000" w:themeColor="text1"/>
          <w:sz w:val="22"/>
          <w:szCs w:val="22"/>
          <w:lang w:val="es-ES"/>
        </w:rPr>
        <w:t>Covid</w:t>
      </w:r>
      <w:proofErr w:type="spellEnd"/>
      <w:r w:rsidRPr="00052F55">
        <w:rPr>
          <w:rFonts w:ascii="AvantGarde Bk BT" w:hAnsi="AvantGarde Bk BT" w:cs="Arial"/>
          <w:color w:val="000000" w:themeColor="text1"/>
          <w:sz w:val="22"/>
          <w:szCs w:val="22"/>
          <w:lang w:val="es-ES"/>
        </w:rPr>
        <w:t xml:space="preserve"> 19. </w:t>
      </w:r>
    </w:p>
    <w:p w:rsidR="00AF3062" w:rsidRPr="00052F55" w:rsidRDefault="00AF3062" w:rsidP="00AF3062">
      <w:pPr>
        <w:rPr>
          <w:rFonts w:ascii="AvantGarde Bk BT" w:hAnsi="AvantGarde Bk BT" w:cs="Arial"/>
          <w:b/>
          <w:bCs/>
          <w:color w:val="000000" w:themeColor="text1"/>
          <w:sz w:val="22"/>
          <w:szCs w:val="22"/>
          <w:lang w:val="es-ES_tradnl"/>
        </w:rPr>
      </w:pPr>
    </w:p>
    <w:p w:rsidR="00AF3062" w:rsidRPr="00052F55" w:rsidRDefault="00AF3062" w:rsidP="00AF3062">
      <w:pPr>
        <w:rPr>
          <w:rFonts w:ascii="AvantGarde Bk BT" w:hAnsi="AvantGarde Bk BT" w:cs="Arial"/>
          <w:b/>
          <w:bCs/>
          <w:color w:val="000000" w:themeColor="text1"/>
          <w:sz w:val="22"/>
          <w:szCs w:val="22"/>
          <w:lang w:val="es-ES_tradnl"/>
        </w:rPr>
      </w:pPr>
      <w:r w:rsidRPr="00052F55">
        <w:rPr>
          <w:rFonts w:ascii="AvantGarde Bk BT" w:hAnsi="AvantGarde Bk BT" w:cs="Arial"/>
          <w:b/>
          <w:bCs/>
          <w:color w:val="000000" w:themeColor="text1"/>
          <w:sz w:val="22"/>
          <w:szCs w:val="22"/>
          <w:lang w:val="es-ES_tradnl"/>
        </w:rPr>
        <w:t xml:space="preserve">E. MEDIDAS IMPLEMENTADAS PARA ENFRENTAR LA PANDEMIA DE </w:t>
      </w:r>
      <w:proofErr w:type="spellStart"/>
      <w:r w:rsidRPr="00052F55">
        <w:rPr>
          <w:rFonts w:ascii="AvantGarde Bk BT" w:hAnsi="AvantGarde Bk BT" w:cs="Arial"/>
          <w:b/>
          <w:bCs/>
          <w:color w:val="000000" w:themeColor="text1"/>
          <w:sz w:val="22"/>
          <w:szCs w:val="22"/>
          <w:lang w:val="es-ES_tradnl"/>
        </w:rPr>
        <w:t>COVID</w:t>
      </w:r>
      <w:proofErr w:type="spellEnd"/>
      <w:r w:rsidRPr="00052F55">
        <w:rPr>
          <w:rFonts w:ascii="AvantGarde Bk BT" w:hAnsi="AvantGarde Bk BT" w:cs="Arial"/>
          <w:b/>
          <w:bCs/>
          <w:color w:val="000000" w:themeColor="text1"/>
          <w:sz w:val="22"/>
          <w:szCs w:val="22"/>
          <w:lang w:val="es-ES_tradnl"/>
        </w:rPr>
        <w:t>-19</w:t>
      </w:r>
    </w:p>
    <w:p w:rsidR="00AF3062" w:rsidRPr="00052F55" w:rsidRDefault="00AF3062" w:rsidP="00AF3062">
      <w:pPr>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En el Periódico Oficial “El Estado de Jalisco”, se publicó el 16 de noviembre de 2020, el 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076/2020 del Ciudadano Gobernador Constitucional del Estado, mediante el cual se emiten diversas medidas de seguridad sanitaria para el aislamiento social, de carácter general y obligatorio, con motivo de la pandemia de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 xml:space="preserve">-19. En éste, se establece en las fracciones </w:t>
      </w:r>
      <w:r w:rsidRPr="00052F55">
        <w:rPr>
          <w:rFonts w:ascii="AvantGarde Bk BT" w:hAnsi="AvantGarde Bk BT" w:cstheme="minorBidi"/>
          <w:bCs/>
          <w:color w:val="000000" w:themeColor="text1"/>
          <w:sz w:val="22"/>
          <w:szCs w:val="22"/>
          <w:lang w:val="es-ES_tradnl"/>
        </w:rPr>
        <w:t>I y VI del Acuerdo Primero que, toda persona que se encuentre en el territorio del Estado de Jalisco, ya sea residente o esté de tránsito, debe cumplir con el resguardo domiciliario corresponsable y se mantiene la suspensión de las clases presenciales en los planteles de todos los niveles educativos públicos o privados. Además, en el Acuerdo Cuarto, se establece que las medidas de seguridad sanitaria iniciarán su vigencia del 17 de noviembre de 2020 al 31 de enero de 2021</w:t>
      </w:r>
      <w:r w:rsidRPr="00052F55">
        <w:rPr>
          <w:rStyle w:val="Refdenotaalpie"/>
          <w:rFonts w:ascii="AvantGarde Bk BT" w:hAnsi="AvantGarde Bk BT" w:cstheme="minorBidi"/>
          <w:bCs/>
          <w:color w:val="000000" w:themeColor="text1"/>
          <w:sz w:val="22"/>
          <w:szCs w:val="22"/>
          <w:lang w:val="es-ES_tradnl"/>
        </w:rPr>
        <w:footnoteReference w:id="18"/>
      </w:r>
      <w:r w:rsidRPr="00052F55">
        <w:rPr>
          <w:rFonts w:ascii="AvantGarde Bk BT" w:hAnsi="AvantGarde Bk BT" w:cstheme="minorBidi"/>
          <w:bCs/>
          <w:color w:val="000000" w:themeColor="text1"/>
          <w:sz w:val="22"/>
          <w:szCs w:val="22"/>
          <w:lang w:val="es-ES_tradnl"/>
        </w:rPr>
        <w:t xml:space="preserve">. </w:t>
      </w:r>
    </w:p>
    <w:p w:rsidR="00AF3062" w:rsidRPr="00052F55" w:rsidRDefault="00AF3062" w:rsidP="00AF3062">
      <w:pPr>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Asimismo, el 22 de diciembre de 2020, se publicó en el Periódico Oficial “El Estado de Jalisco”, el Acuerdo del Secretario de Salud, donde se emiten diversas medidas de seguridad sanitaria para el aislamiento social, de carácter obligatorio, con motivo de la pandemia de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 xml:space="preserve">-19, para los municipios que integran el Área Metropolitana de Guadalajara (los municipios de Guadalajara, Zapopan, San Pedro Tlaquepaque, Tonalá, Tlajomulco de Zúñiga, El Salto, </w:t>
      </w:r>
      <w:proofErr w:type="spellStart"/>
      <w:r w:rsidRPr="00052F55">
        <w:rPr>
          <w:rFonts w:ascii="AvantGarde Bk BT" w:hAnsi="AvantGarde Bk BT" w:cs="Arial"/>
          <w:color w:val="000000" w:themeColor="text1"/>
          <w:sz w:val="22"/>
          <w:szCs w:val="22"/>
          <w:lang w:val="es-ES_tradnl"/>
        </w:rPr>
        <w:t>Juanacatlán</w:t>
      </w:r>
      <w:proofErr w:type="spellEnd"/>
      <w:r w:rsidRPr="00052F55">
        <w:rPr>
          <w:rFonts w:ascii="AvantGarde Bk BT" w:hAnsi="AvantGarde Bk BT" w:cs="Arial"/>
          <w:color w:val="000000" w:themeColor="text1"/>
          <w:sz w:val="22"/>
          <w:szCs w:val="22"/>
          <w:lang w:val="es-ES_tradnl"/>
        </w:rPr>
        <w:t xml:space="preserve">, </w:t>
      </w:r>
      <w:proofErr w:type="spellStart"/>
      <w:r w:rsidRPr="00052F55">
        <w:rPr>
          <w:rFonts w:ascii="AvantGarde Bk BT" w:hAnsi="AvantGarde Bk BT" w:cs="Arial"/>
          <w:color w:val="000000" w:themeColor="text1"/>
          <w:sz w:val="22"/>
          <w:szCs w:val="22"/>
          <w:lang w:val="es-ES_tradnl"/>
        </w:rPr>
        <w:t>Ixtlahuacán</w:t>
      </w:r>
      <w:proofErr w:type="spellEnd"/>
      <w:r w:rsidRPr="00052F55">
        <w:rPr>
          <w:rFonts w:ascii="AvantGarde Bk BT" w:hAnsi="AvantGarde Bk BT" w:cs="Arial"/>
          <w:color w:val="000000" w:themeColor="text1"/>
          <w:sz w:val="22"/>
          <w:szCs w:val="22"/>
          <w:lang w:val="es-ES_tradnl"/>
        </w:rPr>
        <w:t xml:space="preserve"> de los Membrillos y Zapotlanejo) y para el municipio de Puerto Vallarta, Jalisco. </w:t>
      </w:r>
    </w:p>
    <w:p w:rsidR="00AF3062" w:rsidRPr="00052F55" w:rsidRDefault="00AF3062" w:rsidP="00AF3062">
      <w:pPr>
        <w:pStyle w:val="Prrafodelista"/>
        <w:rPr>
          <w:rFonts w:ascii="AvantGarde Bk BT" w:hAnsi="AvantGarde Bk BT" w:cs="Arial"/>
          <w:color w:val="000000" w:themeColor="text1"/>
          <w:sz w:val="22"/>
          <w:szCs w:val="22"/>
          <w:lang w:val="es-ES_tradnl"/>
        </w:rPr>
      </w:pPr>
    </w:p>
    <w:p w:rsidR="00AF3062" w:rsidRPr="00052F55" w:rsidRDefault="00AF3062" w:rsidP="00AF3062">
      <w:pPr>
        <w:ind w:left="360" w:right="51"/>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lastRenderedPageBreak/>
        <w:t xml:space="preserve">Dichas medidas son adicionales al 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076/2020, con la finalidad de disminuir los riesgos de complicaciones y muerte ocasionados por la enfermedad y mitigar sus efectos. La vigencia de las medidas son del 25 de diciembre de 2020 al 10 de enero de 2021</w:t>
      </w:r>
      <w:r w:rsidRPr="00052F55">
        <w:rPr>
          <w:rStyle w:val="Refdenotaalpie"/>
          <w:rFonts w:ascii="AvantGarde Bk BT" w:hAnsi="AvantGarde Bk BT" w:cs="Arial"/>
          <w:color w:val="000000" w:themeColor="text1"/>
          <w:sz w:val="22"/>
          <w:szCs w:val="22"/>
          <w:lang w:val="es-ES_tradnl"/>
        </w:rPr>
        <w:footnoteReference w:id="19"/>
      </w:r>
      <w:r w:rsidRPr="00052F55">
        <w:rPr>
          <w:rFonts w:ascii="AvantGarde Bk BT" w:hAnsi="AvantGarde Bk BT" w:cs="Arial"/>
          <w:color w:val="000000" w:themeColor="text1"/>
          <w:sz w:val="22"/>
          <w:szCs w:val="22"/>
          <w:lang w:val="es-ES_tradnl"/>
        </w:rPr>
        <w:t>.</w:t>
      </w:r>
    </w:p>
    <w:p w:rsidR="00AF3062" w:rsidRPr="00052F55" w:rsidRDefault="00AF3062" w:rsidP="00AF3062">
      <w:pPr>
        <w:ind w:left="360" w:right="51"/>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004/2021, del Ciudadano Gobernador Constitucional del Estado Libre y Soberano de Jalisco, mediante el  cual  se  emiten  diversas  medidas  de  seguridad sanitaria para el aislamiento social, de carácter general y obligatorio, con motivo de la pandemia de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-19, publicado el 15 de enero del presente en el Periódico Oficial “El Estado de Jalisco”  (</w:t>
      </w:r>
      <w:proofErr w:type="spellStart"/>
      <w:r w:rsidRPr="00052F55">
        <w:rPr>
          <w:rFonts w:ascii="AvantGarde Bk BT" w:hAnsi="AvantGarde Bk BT" w:cs="Arial"/>
          <w:color w:val="000000" w:themeColor="text1"/>
          <w:sz w:val="22"/>
          <w:szCs w:val="22"/>
          <w:lang w:val="es-ES_tradnl"/>
        </w:rPr>
        <w:t>POEJ</w:t>
      </w:r>
      <w:proofErr w:type="spellEnd"/>
      <w:r w:rsidRPr="00052F55">
        <w:rPr>
          <w:rFonts w:ascii="AvantGarde Bk BT" w:hAnsi="AvantGarde Bk BT" w:cs="Arial"/>
          <w:color w:val="000000" w:themeColor="text1"/>
          <w:sz w:val="22"/>
          <w:szCs w:val="22"/>
          <w:lang w:val="es-ES_tradnl"/>
        </w:rPr>
        <w:t xml:space="preserve">), mismo que establece en su Acuerdo Segundo que las medidas de seguridad sanitaria para el aislamiento social, de carácter general y obligatorio en el Estado de  Jalisco, a efecto de prevenir y contener la dispersión y transmisión del virus </w:t>
      </w:r>
      <w:proofErr w:type="spellStart"/>
      <w:r w:rsidRPr="00052F55">
        <w:rPr>
          <w:rFonts w:ascii="AvantGarde Bk BT" w:hAnsi="AvantGarde Bk BT" w:cs="Arial"/>
          <w:color w:val="000000" w:themeColor="text1"/>
          <w:sz w:val="22"/>
          <w:szCs w:val="22"/>
          <w:lang w:val="es-ES_tradnl"/>
        </w:rPr>
        <w:t>SARS</w:t>
      </w:r>
      <w:proofErr w:type="spellEnd"/>
      <w:r w:rsidRPr="00052F55">
        <w:rPr>
          <w:rFonts w:ascii="AvantGarde Bk BT" w:hAnsi="AvantGarde Bk BT" w:cs="Arial"/>
          <w:color w:val="000000" w:themeColor="text1"/>
          <w:sz w:val="22"/>
          <w:szCs w:val="22"/>
          <w:lang w:val="es-ES_tradnl"/>
        </w:rPr>
        <w:t xml:space="preserve">   -</w:t>
      </w:r>
      <w:proofErr w:type="spellStart"/>
      <w:r w:rsidRPr="00052F55">
        <w:rPr>
          <w:rFonts w:ascii="AvantGarde Bk BT" w:hAnsi="AvantGarde Bk BT" w:cs="Arial"/>
          <w:color w:val="000000" w:themeColor="text1"/>
          <w:sz w:val="22"/>
          <w:szCs w:val="22"/>
          <w:lang w:val="es-ES_tradnl"/>
        </w:rPr>
        <w:t>CoV2</w:t>
      </w:r>
      <w:proofErr w:type="spellEnd"/>
      <w:r w:rsidRPr="00052F55">
        <w:rPr>
          <w:rFonts w:ascii="AvantGarde Bk BT" w:hAnsi="AvantGarde Bk BT" w:cs="Arial"/>
          <w:color w:val="000000" w:themeColor="text1"/>
          <w:sz w:val="22"/>
          <w:szCs w:val="22"/>
          <w:lang w:val="es-ES_tradnl"/>
        </w:rPr>
        <w:t xml:space="preserv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-19) en la comunidad, así como para disminuir los  riesgos de complicaciones y muerte ocasionados por la enfermedad y mitigar los casos que requieran atención hospitalaria.</w:t>
      </w: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ind w:left="360"/>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Asimismo, el Acuerdo Quinto, contempla que las anteriores medidas de seguridad sanitaria estarán vigentes a partir del 16 hasta el 31 de enero de 2021, pudiendo ampliarse su vigencia o modificarse en caso de ser necesario.</w:t>
      </w:r>
    </w:p>
    <w:p w:rsidR="00AF3062" w:rsidRPr="00052F55" w:rsidRDefault="00AF3062" w:rsidP="00AF3062">
      <w:pPr>
        <w:ind w:right="51"/>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Mediante el 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008/2021 del Ciudadano Gobernador Constitucional del Estado Libre y Soberano de Jalisco, se reformó el 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004/2021, mediante el cual se emitieron diversas medidas de seguridad sanitaria para el aislamiento social, de carácter general y obligatorio, con motivo de la pandemia de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-19, el 29 de enero del presente en el Periódico Oficial “El Estado de Jalisco” (</w:t>
      </w:r>
      <w:proofErr w:type="spellStart"/>
      <w:r w:rsidRPr="00052F55">
        <w:rPr>
          <w:rFonts w:ascii="AvantGarde Bk BT" w:hAnsi="AvantGarde Bk BT" w:cs="Arial"/>
          <w:color w:val="000000" w:themeColor="text1"/>
          <w:sz w:val="22"/>
          <w:szCs w:val="22"/>
          <w:lang w:val="es-ES_tradnl"/>
        </w:rPr>
        <w:t>POEJ</w:t>
      </w:r>
      <w:proofErr w:type="spellEnd"/>
      <w:r w:rsidRPr="00052F55">
        <w:rPr>
          <w:rFonts w:ascii="AvantGarde Bk BT" w:hAnsi="AvantGarde Bk BT" w:cs="Arial"/>
          <w:color w:val="000000" w:themeColor="text1"/>
          <w:sz w:val="22"/>
          <w:szCs w:val="22"/>
          <w:lang w:val="es-ES_tradnl"/>
        </w:rPr>
        <w:t xml:space="preserve">),  establece en su Acuerdo Único,  entre otras determinaciones, que las medidas de seguridad emitidas en el Acuerdo </w:t>
      </w:r>
      <w:proofErr w:type="spellStart"/>
      <w:r w:rsidRPr="00052F55">
        <w:rPr>
          <w:rFonts w:ascii="AvantGarde Bk BT" w:hAnsi="AvantGarde Bk BT" w:cs="Arial"/>
          <w:color w:val="000000" w:themeColor="text1"/>
          <w:sz w:val="22"/>
          <w:szCs w:val="22"/>
          <w:lang w:val="es-ES_tradnl"/>
        </w:rPr>
        <w:t>DIELAG</w:t>
      </w:r>
      <w:proofErr w:type="spellEnd"/>
      <w:r w:rsidRPr="00052F55">
        <w:rPr>
          <w:rFonts w:ascii="AvantGarde Bk BT" w:hAnsi="AvantGarde Bk BT" w:cs="Arial"/>
          <w:color w:val="000000" w:themeColor="text1"/>
          <w:sz w:val="22"/>
          <w:szCs w:val="22"/>
          <w:lang w:val="es-ES_tradnl"/>
        </w:rPr>
        <w:t xml:space="preserve"> ACU 004/2021, estarán vigentes hasta el 12 de febrero de 2021, pudiendo ampliarse su vigencia o modificarse en caso de ser necesario. </w:t>
      </w:r>
    </w:p>
    <w:p w:rsidR="00AF3062" w:rsidRPr="00710285" w:rsidRDefault="00AF3062" w:rsidP="00710285">
      <w:pPr>
        <w:contextualSpacing/>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La Universidad de Guadalajara, con el fin de reducir los impactos de la enfermedad por el virus </w:t>
      </w:r>
      <w:proofErr w:type="spellStart"/>
      <w:r w:rsidRPr="00052F55">
        <w:rPr>
          <w:rFonts w:ascii="AvantGarde Bk BT" w:hAnsi="AvantGarde Bk BT" w:cs="Arial"/>
          <w:color w:val="000000" w:themeColor="text1"/>
          <w:sz w:val="22"/>
          <w:szCs w:val="22"/>
          <w:lang w:val="es-ES_tradnl"/>
        </w:rPr>
        <w:t>SARS-CoV2</w:t>
      </w:r>
      <w:proofErr w:type="spellEnd"/>
      <w:r w:rsidRPr="00052F55">
        <w:rPr>
          <w:rFonts w:ascii="AvantGarde Bk BT" w:hAnsi="AvantGarde Bk BT" w:cs="Arial"/>
          <w:color w:val="000000" w:themeColor="text1"/>
          <w:sz w:val="22"/>
          <w:szCs w:val="22"/>
          <w:lang w:val="es-ES_tradnl"/>
        </w:rPr>
        <w:t xml:space="preserve"> (</w:t>
      </w:r>
      <w:proofErr w:type="spellStart"/>
      <w:r w:rsidRPr="00052F55">
        <w:rPr>
          <w:rFonts w:ascii="AvantGarde Bk BT" w:hAnsi="AvantGarde Bk BT" w:cs="Arial"/>
          <w:color w:val="000000" w:themeColor="text1"/>
          <w:sz w:val="22"/>
          <w:szCs w:val="22"/>
          <w:lang w:val="es-ES_tradnl"/>
        </w:rPr>
        <w:t>COVID</w:t>
      </w:r>
      <w:proofErr w:type="spellEnd"/>
      <w:r w:rsidRPr="00052F55">
        <w:rPr>
          <w:rFonts w:ascii="AvantGarde Bk BT" w:hAnsi="AvantGarde Bk BT" w:cs="Arial"/>
          <w:color w:val="000000" w:themeColor="text1"/>
          <w:sz w:val="22"/>
          <w:szCs w:val="22"/>
          <w:lang w:val="es-ES_tradnl"/>
        </w:rPr>
        <w:t>-19) en la comunidad universitaria, y en cumplimiento con las medidas de prevención recomendadas, ha llevado a cabo desde el 17 de marzo de 2020, una serie de medidas a efecto de que las clases se impartan de manera virtual, con el objetivo de no interferir en la formación de alumnos. Además de prestar los servicios estrictamente esenciales para la operación administrativa y la atención de procesos relevantes en la Red Universitaria.</w:t>
      </w:r>
    </w:p>
    <w:p w:rsidR="00AF3062" w:rsidRPr="00052F55" w:rsidRDefault="00AF3062" w:rsidP="00AF3062">
      <w:pPr>
        <w:pStyle w:val="Prrafodelista"/>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La</w:t>
      </w:r>
      <w:r w:rsidRPr="00052F55">
        <w:rPr>
          <w:rFonts w:ascii="AvantGarde Bk BT" w:hAnsi="AvantGarde Bk BT" w:cstheme="minorBidi"/>
          <w:bCs/>
          <w:color w:val="000000" w:themeColor="text1"/>
          <w:sz w:val="22"/>
          <w:szCs w:val="22"/>
          <w:lang w:val="es-ES_tradnl"/>
        </w:rPr>
        <w:t xml:space="preserve"> circular No. 01, suscrita el 04 de enero de 2021, por el Secretario General de la Universidad de Guadalajara y, en acuerdo con el Rector General, estableció, entre otras cosas, lo siguiente:</w:t>
      </w:r>
    </w:p>
    <w:p w:rsidR="00AF3062" w:rsidRPr="00052F55" w:rsidRDefault="00AF3062" w:rsidP="00AF3062">
      <w:pPr>
        <w:pStyle w:val="Prrafodelista"/>
        <w:rPr>
          <w:rFonts w:ascii="AvantGarde Bk BT" w:hAnsi="AvantGarde Bk BT" w:cs="Arial"/>
          <w:color w:val="000000" w:themeColor="text1"/>
          <w:sz w:val="22"/>
          <w:szCs w:val="22"/>
          <w:lang w:val="es-ES_tradnl"/>
        </w:rPr>
      </w:pPr>
    </w:p>
    <w:p w:rsidR="00AF3062" w:rsidRPr="00052F55" w:rsidRDefault="00AF3062" w:rsidP="00AF3062">
      <w:pPr>
        <w:numPr>
          <w:ilvl w:val="1"/>
          <w:numId w:val="2"/>
        </w:numPr>
        <w:tabs>
          <w:tab w:val="clear" w:pos="1440"/>
          <w:tab w:val="num" w:pos="1080"/>
        </w:tabs>
        <w:ind w:left="1080" w:right="51"/>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lastRenderedPageBreak/>
        <w:t>Tomando en consideración que para el inicio del ciclo escolar 2021-A, en toda la Red Universitaria, las clases y demás actividades académicas, darían inicio a partir del lunes 18 de enero de 2021, se informó que en los próximos días sería definida la estrategia para el inicio de cursos, la cual se daría a conocer en su momento, a través de los medios de comunicación oficial.</w:t>
      </w:r>
    </w:p>
    <w:p w:rsidR="00AF3062" w:rsidRPr="00052F55" w:rsidRDefault="00AF3062" w:rsidP="00AF3062">
      <w:pPr>
        <w:ind w:left="1440" w:right="51"/>
        <w:jc w:val="both"/>
        <w:rPr>
          <w:rFonts w:ascii="AvantGarde Bk BT" w:hAnsi="AvantGarde Bk BT" w:cs="Arial"/>
          <w:color w:val="000000" w:themeColor="text1"/>
          <w:sz w:val="22"/>
          <w:szCs w:val="22"/>
          <w:lang w:val="es-ES_tradnl"/>
        </w:rPr>
      </w:pPr>
    </w:p>
    <w:p w:rsidR="00AF3062" w:rsidRPr="00052F55" w:rsidRDefault="00AF3062" w:rsidP="00AF3062">
      <w:pPr>
        <w:numPr>
          <w:ilvl w:val="1"/>
          <w:numId w:val="2"/>
        </w:numPr>
        <w:tabs>
          <w:tab w:val="clear" w:pos="1440"/>
          <w:tab w:val="num" w:pos="1080"/>
        </w:tabs>
        <w:ind w:left="1080" w:right="51"/>
        <w:jc w:val="both"/>
        <w:rPr>
          <w:rFonts w:ascii="AvantGarde Bk BT" w:hAnsi="AvantGarde Bk BT" w:cs="Arial"/>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t xml:space="preserve">Durante el período comprendido del 07 al 16 de enero de 2021, todos los servicios y actividades administrativas y operativas, se prestarían con la mayor normalidad posible. El titular de cada dependencia establecería las actividades que serían atendidas de manera presencial, a distancia o virtual. Además, de garantizar en todo momento, en la realización de las actividades presenciales, que se atiendan las recomendaciones para </w:t>
      </w:r>
      <w:r w:rsidRPr="00052F55">
        <w:rPr>
          <w:rFonts w:ascii="AvantGarde Bk BT" w:hAnsi="AvantGarde Bk BT"/>
          <w:bCs/>
          <w:color w:val="000000" w:themeColor="text1"/>
          <w:sz w:val="22"/>
          <w:szCs w:val="22"/>
          <w:lang w:val="es-ES_tradnl"/>
        </w:rPr>
        <w:t xml:space="preserve">prevenir, contener, diagnosticar y atender la pandemia de </w:t>
      </w:r>
      <w:proofErr w:type="spellStart"/>
      <w:r w:rsidRPr="00052F55">
        <w:rPr>
          <w:rFonts w:ascii="AvantGarde Bk BT" w:hAnsi="AvantGarde Bk BT"/>
          <w:bCs/>
          <w:color w:val="000000" w:themeColor="text1"/>
          <w:sz w:val="22"/>
          <w:szCs w:val="22"/>
          <w:lang w:val="es-ES_tradnl"/>
        </w:rPr>
        <w:t>COVID</w:t>
      </w:r>
      <w:proofErr w:type="spellEnd"/>
      <w:r w:rsidRPr="00052F55">
        <w:rPr>
          <w:rFonts w:ascii="AvantGarde Bk BT" w:hAnsi="AvantGarde Bk BT"/>
          <w:bCs/>
          <w:color w:val="000000" w:themeColor="text1"/>
          <w:sz w:val="22"/>
          <w:szCs w:val="22"/>
          <w:lang w:val="es-ES_tradnl"/>
        </w:rPr>
        <w:t>-19.</w:t>
      </w:r>
    </w:p>
    <w:p w:rsidR="00AF3062" w:rsidRPr="00052F55" w:rsidRDefault="00AF3062" w:rsidP="00AF3062">
      <w:pPr>
        <w:ind w:left="720" w:right="51"/>
        <w:jc w:val="both"/>
        <w:rPr>
          <w:rFonts w:ascii="AvantGarde Bk BT" w:hAnsi="AvantGarde Bk BT" w:cs="Arial"/>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theme="minorBidi"/>
          <w:bCs/>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t xml:space="preserve">El 07 de enero de 2021, la Comisión de Educación del H. Consejo General Universitario, mediante dictamen I/2021/001, aprobó modificar el Calendario Escolar de la Universidad de Guadalajara 2021-2022, </w:t>
      </w:r>
      <w:r w:rsidRPr="00052F55">
        <w:rPr>
          <w:rFonts w:ascii="AvantGarde Bk BT" w:hAnsi="AvantGarde Bk BT" w:cs="Arial"/>
          <w:color w:val="000000" w:themeColor="text1"/>
          <w:sz w:val="22"/>
          <w:szCs w:val="22"/>
          <w:lang w:val="es-ES_tradnl"/>
        </w:rPr>
        <w:t>aplicable a los Centros Universitarios y al Sistema de Educación Media Superior,</w:t>
      </w:r>
      <w:r w:rsidRPr="00052F55">
        <w:rPr>
          <w:rFonts w:ascii="AvantGarde Bk BT" w:hAnsi="AvantGarde Bk BT" w:cstheme="minorBidi"/>
          <w:bCs/>
          <w:color w:val="000000" w:themeColor="text1"/>
          <w:sz w:val="22"/>
          <w:szCs w:val="22"/>
          <w:lang w:val="es-ES_tradnl"/>
        </w:rPr>
        <w:t xml:space="preserve"> y se determinó, derivado de las circunstancias que prevalecían por la pandemia, las siguientes fechas:</w:t>
      </w:r>
    </w:p>
    <w:p w:rsidR="00AF3062" w:rsidRPr="00052F55" w:rsidRDefault="00AF3062" w:rsidP="00AF3062">
      <w:pPr>
        <w:contextualSpacing/>
        <w:jc w:val="both"/>
        <w:rPr>
          <w:rFonts w:ascii="AvantGarde Bk BT" w:hAnsi="AvantGarde Bk BT" w:cstheme="minorBidi"/>
          <w:bCs/>
          <w:color w:val="000000" w:themeColor="text1"/>
          <w:sz w:val="22"/>
          <w:szCs w:val="22"/>
          <w:lang w:val="es-ES_tradnl"/>
        </w:rPr>
      </w:pPr>
    </w:p>
    <w:tbl>
      <w:tblPr>
        <w:tblStyle w:val="Tablaconcuadrcula"/>
        <w:tblW w:w="0" w:type="auto"/>
        <w:jc w:val="center"/>
        <w:tblLook w:val="04A0" w:firstRow="1" w:lastRow="0" w:firstColumn="1" w:lastColumn="0" w:noHBand="0" w:noVBand="1"/>
      </w:tblPr>
      <w:tblGrid>
        <w:gridCol w:w="3387"/>
        <w:gridCol w:w="3838"/>
      </w:tblGrid>
      <w:tr w:rsidR="00AF3062" w:rsidRPr="00052F55" w:rsidTr="00AD0603">
        <w:trPr>
          <w:jc w:val="center"/>
        </w:trPr>
        <w:tc>
          <w:tcPr>
            <w:tcW w:w="3387" w:type="dxa"/>
            <w:shd w:val="clear" w:color="auto" w:fill="D9D9D9" w:themeFill="background1" w:themeFillShade="D9"/>
          </w:tcPr>
          <w:p w:rsidR="00AF3062" w:rsidRPr="000E7526" w:rsidRDefault="00AF3062" w:rsidP="00AD0603">
            <w:pPr>
              <w:ind w:right="51"/>
              <w:jc w:val="center"/>
              <w:rPr>
                <w:rFonts w:ascii="AvantGarde Bk BT" w:hAnsi="AvantGarde Bk BT" w:cs="Arial"/>
                <w:b/>
                <w:color w:val="000000" w:themeColor="text1"/>
                <w:sz w:val="20"/>
                <w:szCs w:val="20"/>
              </w:rPr>
            </w:pPr>
            <w:r w:rsidRPr="000E7526">
              <w:rPr>
                <w:rFonts w:ascii="AvantGarde Bk BT" w:hAnsi="AvantGarde Bk BT" w:cs="Arial"/>
                <w:b/>
                <w:color w:val="000000" w:themeColor="text1"/>
                <w:sz w:val="20"/>
                <w:szCs w:val="20"/>
              </w:rPr>
              <w:t>Centros Universitarios</w:t>
            </w:r>
          </w:p>
        </w:tc>
        <w:tc>
          <w:tcPr>
            <w:tcW w:w="3838" w:type="dxa"/>
            <w:shd w:val="clear" w:color="auto" w:fill="D9D9D9" w:themeFill="background1" w:themeFillShade="D9"/>
          </w:tcPr>
          <w:p w:rsidR="00AF3062" w:rsidRPr="000E7526" w:rsidRDefault="00AF3062" w:rsidP="00AD0603">
            <w:pPr>
              <w:ind w:right="51"/>
              <w:jc w:val="center"/>
              <w:rPr>
                <w:rFonts w:ascii="AvantGarde Bk BT" w:hAnsi="AvantGarde Bk BT" w:cs="Arial"/>
                <w:b/>
                <w:color w:val="000000" w:themeColor="text1"/>
                <w:sz w:val="20"/>
                <w:szCs w:val="20"/>
              </w:rPr>
            </w:pPr>
            <w:r w:rsidRPr="000E7526">
              <w:rPr>
                <w:rFonts w:ascii="AvantGarde Bk BT" w:hAnsi="AvantGarde Bk BT" w:cs="Arial"/>
                <w:b/>
                <w:color w:val="000000" w:themeColor="text1"/>
                <w:sz w:val="20"/>
                <w:szCs w:val="20"/>
              </w:rPr>
              <w:t>Fechas</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Inicio de cursos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22 de febrero de 2021</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Fin de cursos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09 de julio de 2021</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Semanas de clases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17</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Vacaciones de primavera</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29 de marzo al 11 de abril de 2021</w:t>
            </w:r>
          </w:p>
        </w:tc>
      </w:tr>
      <w:tr w:rsidR="00AF3062" w:rsidRPr="00052F55" w:rsidTr="00AD0603">
        <w:trPr>
          <w:jc w:val="center"/>
        </w:trPr>
        <w:tc>
          <w:tcPr>
            <w:tcW w:w="3387" w:type="dxa"/>
            <w:shd w:val="clear" w:color="auto" w:fill="D9D9D9" w:themeFill="background1" w:themeFillShade="D9"/>
          </w:tcPr>
          <w:p w:rsidR="00AF3062" w:rsidRPr="000E7526" w:rsidRDefault="00AF3062" w:rsidP="00AD0603">
            <w:pPr>
              <w:ind w:right="51"/>
              <w:jc w:val="center"/>
              <w:rPr>
                <w:rFonts w:ascii="AvantGarde Bk BT" w:hAnsi="AvantGarde Bk BT" w:cs="Arial"/>
                <w:b/>
                <w:color w:val="000000" w:themeColor="text1"/>
                <w:sz w:val="20"/>
                <w:szCs w:val="20"/>
              </w:rPr>
            </w:pPr>
            <w:r w:rsidRPr="000E7526">
              <w:rPr>
                <w:rFonts w:ascii="AvantGarde Bk BT" w:hAnsi="AvantGarde Bk BT" w:cs="Arial"/>
                <w:b/>
                <w:color w:val="000000" w:themeColor="text1"/>
                <w:sz w:val="20"/>
                <w:szCs w:val="20"/>
              </w:rPr>
              <w:t>Sistema de Educación Media Superior</w:t>
            </w:r>
          </w:p>
        </w:tc>
        <w:tc>
          <w:tcPr>
            <w:tcW w:w="3838" w:type="dxa"/>
            <w:shd w:val="clear" w:color="auto" w:fill="D9D9D9" w:themeFill="background1" w:themeFillShade="D9"/>
          </w:tcPr>
          <w:p w:rsidR="00AF3062" w:rsidRPr="000E7526" w:rsidRDefault="00AF3062" w:rsidP="00AD0603">
            <w:pPr>
              <w:ind w:right="51"/>
              <w:jc w:val="center"/>
              <w:rPr>
                <w:rFonts w:ascii="AvantGarde Bk BT" w:hAnsi="AvantGarde Bk BT" w:cs="Arial"/>
                <w:b/>
                <w:color w:val="000000" w:themeColor="text1"/>
                <w:sz w:val="20"/>
                <w:szCs w:val="20"/>
              </w:rPr>
            </w:pPr>
            <w:r w:rsidRPr="000E7526">
              <w:rPr>
                <w:rFonts w:ascii="AvantGarde Bk BT" w:hAnsi="AvantGarde Bk BT" w:cs="Arial"/>
                <w:b/>
                <w:color w:val="000000" w:themeColor="text1"/>
                <w:sz w:val="20"/>
                <w:szCs w:val="20"/>
              </w:rPr>
              <w:t>Fechas</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Inicio de cursos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02 de febrero de 2021</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Fin de cursos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02 de julio de 2021</w:t>
            </w:r>
          </w:p>
        </w:tc>
      </w:tr>
      <w:tr w:rsidR="00AF3062" w:rsidRPr="00052F55" w:rsidTr="00AD0603">
        <w:trPr>
          <w:jc w:val="center"/>
        </w:trPr>
        <w:tc>
          <w:tcPr>
            <w:tcW w:w="3387" w:type="dxa"/>
          </w:tcPr>
          <w:p w:rsidR="00AF3062" w:rsidRPr="000E7526" w:rsidRDefault="00AF3062" w:rsidP="00AD0603">
            <w:pPr>
              <w:ind w:right="51"/>
              <w:jc w:val="both"/>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Semanas de clases</w:t>
            </w:r>
          </w:p>
        </w:tc>
        <w:tc>
          <w:tcPr>
            <w:tcW w:w="3838" w:type="dxa"/>
          </w:tcPr>
          <w:p w:rsidR="00AF3062" w:rsidRPr="000E7526" w:rsidRDefault="00AF3062" w:rsidP="00AD0603">
            <w:pPr>
              <w:ind w:right="51"/>
              <w:jc w:val="right"/>
              <w:rPr>
                <w:rFonts w:ascii="AvantGarde Bk BT" w:hAnsi="AvantGarde Bk BT" w:cs="Arial"/>
                <w:color w:val="000000" w:themeColor="text1"/>
                <w:sz w:val="20"/>
                <w:szCs w:val="20"/>
              </w:rPr>
            </w:pPr>
            <w:r w:rsidRPr="000E7526">
              <w:rPr>
                <w:rFonts w:ascii="AvantGarde Bk BT" w:hAnsi="AvantGarde Bk BT" w:cs="Arial"/>
                <w:color w:val="000000" w:themeColor="text1"/>
                <w:sz w:val="20"/>
                <w:szCs w:val="20"/>
              </w:rPr>
              <w:t>19</w:t>
            </w:r>
          </w:p>
        </w:tc>
      </w:tr>
      <w:tr w:rsidR="00AF3062" w:rsidRPr="00052F55" w:rsidTr="00AD0603">
        <w:trPr>
          <w:jc w:val="center"/>
        </w:trPr>
        <w:tc>
          <w:tcPr>
            <w:tcW w:w="3387" w:type="dxa"/>
          </w:tcPr>
          <w:p w:rsidR="00AF3062" w:rsidRPr="00052F55" w:rsidRDefault="00AF3062" w:rsidP="00AD0603">
            <w:pPr>
              <w:ind w:right="51"/>
              <w:jc w:val="both"/>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Vacaciones de primavera</w:t>
            </w:r>
          </w:p>
        </w:tc>
        <w:tc>
          <w:tcPr>
            <w:tcW w:w="3838" w:type="dxa"/>
          </w:tcPr>
          <w:p w:rsidR="00AF3062" w:rsidRPr="00052F55" w:rsidRDefault="00AF3062" w:rsidP="00AD0603">
            <w:pPr>
              <w:ind w:right="51"/>
              <w:jc w:val="right"/>
              <w:rPr>
                <w:rFonts w:ascii="AvantGarde Bk BT" w:hAnsi="AvantGarde Bk BT" w:cs="Arial"/>
                <w:color w:val="000000" w:themeColor="text1"/>
                <w:sz w:val="22"/>
                <w:szCs w:val="22"/>
              </w:rPr>
            </w:pPr>
            <w:r w:rsidRPr="00052F55">
              <w:rPr>
                <w:rFonts w:ascii="AvantGarde Bk BT" w:hAnsi="AvantGarde Bk BT" w:cs="Arial"/>
                <w:color w:val="000000" w:themeColor="text1"/>
                <w:sz w:val="22"/>
                <w:szCs w:val="22"/>
              </w:rPr>
              <w:t>29 de marzo al 11 de abril de 2021</w:t>
            </w:r>
          </w:p>
        </w:tc>
      </w:tr>
    </w:tbl>
    <w:p w:rsidR="00AF3062" w:rsidRPr="00052F55" w:rsidRDefault="00AF3062" w:rsidP="00AF3062">
      <w:pPr>
        <w:contextualSpacing/>
        <w:jc w:val="both"/>
        <w:rPr>
          <w:rFonts w:ascii="AvantGarde Bk BT" w:hAnsi="AvantGarde Bk BT" w:cstheme="minorBidi"/>
          <w:bCs/>
          <w:color w:val="000000" w:themeColor="text1"/>
          <w:sz w:val="22"/>
          <w:szCs w:val="22"/>
          <w:lang w:val="es-ES_tradnl"/>
        </w:rPr>
      </w:pPr>
    </w:p>
    <w:p w:rsidR="00AF3062" w:rsidRPr="00052F55" w:rsidRDefault="00AF3062" w:rsidP="00AF3062">
      <w:pPr>
        <w:pStyle w:val="Prrafodelista"/>
        <w:numPr>
          <w:ilvl w:val="0"/>
          <w:numId w:val="3"/>
        </w:numPr>
        <w:contextualSpacing/>
        <w:jc w:val="both"/>
        <w:rPr>
          <w:rFonts w:ascii="AvantGarde Bk BT" w:hAnsi="AvantGarde Bk BT" w:cstheme="minorBidi"/>
          <w:bCs/>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t>La circular No. 03, suscrita el 11 de enero de 2021 por el Secretario General, en acuerdo con el Rector General, en la cual se estableció la suspensión de labores administrativas presenciales a partir del 12 de enero y hasta el 23 de enero 2021 (inclusive), dejando sin efecto la circular No. 01.</w:t>
      </w:r>
    </w:p>
    <w:p w:rsidR="00AF3062" w:rsidRPr="00052F55" w:rsidRDefault="00AF3062" w:rsidP="00AF3062">
      <w:pPr>
        <w:pStyle w:val="Prrafodelista"/>
        <w:rPr>
          <w:rFonts w:ascii="AvantGarde Bk BT" w:eastAsia="Questrial" w:hAnsi="AvantGarde Bk BT" w:cs="Arial"/>
          <w:color w:val="000000" w:themeColor="text1"/>
          <w:sz w:val="22"/>
          <w:szCs w:val="22"/>
        </w:rPr>
      </w:pPr>
    </w:p>
    <w:p w:rsidR="00AF3062" w:rsidRPr="00052F55" w:rsidRDefault="00AF3062" w:rsidP="00AF3062">
      <w:pPr>
        <w:pStyle w:val="Prrafodelista"/>
        <w:ind w:left="360"/>
        <w:contextualSpacing/>
        <w:jc w:val="both"/>
        <w:rPr>
          <w:rFonts w:ascii="AvantGarde Bk BT" w:hAnsi="AvantGarde Bk BT" w:cstheme="minorBidi"/>
          <w:bCs/>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t>Asimismo, se establecieron una serie de medidas a efecto de que la Universidad prestara únicamente los servicios estrictamente esenciales para la operación administrativa y la atención de procesos relevantes en la Red Universitaria (de acuerdo al documento anexo a la circular), con el objetivo de no interferir en lo relacionado con procesos de administrativos y académicos para el inicio de actividades del próximo ciclo escolar 2021 “A”.</w:t>
      </w:r>
    </w:p>
    <w:p w:rsidR="00AF3062" w:rsidRPr="00052F55" w:rsidRDefault="00AF3062" w:rsidP="00AF3062">
      <w:pPr>
        <w:pStyle w:val="Prrafodelista"/>
        <w:rPr>
          <w:rFonts w:ascii="AvantGarde Bk BT" w:eastAsia="Questrial" w:hAnsi="AvantGarde Bk BT" w:cs="Arial"/>
          <w:color w:val="000000" w:themeColor="text1"/>
          <w:sz w:val="22"/>
          <w:szCs w:val="22"/>
        </w:rPr>
      </w:pPr>
    </w:p>
    <w:p w:rsidR="00AF3062" w:rsidRPr="00052F55" w:rsidRDefault="00AF3062" w:rsidP="00AF3062">
      <w:pPr>
        <w:pStyle w:val="Prrafodelista"/>
        <w:numPr>
          <w:ilvl w:val="0"/>
          <w:numId w:val="3"/>
        </w:numPr>
        <w:contextualSpacing/>
        <w:jc w:val="both"/>
        <w:rPr>
          <w:rFonts w:ascii="AvantGarde Bk BT" w:hAnsi="AvantGarde Bk BT" w:cstheme="minorBidi"/>
          <w:bCs/>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lastRenderedPageBreak/>
        <w:t>La circular No. 04, suscrita el 22 de enero de 2021 por el Secretario General, en acuerdo con el Rector General, se determinó continuar con la suspensión de labores administrativas presenciales de la Universidad de Guadalajara a partir del lunes 25 de enero hasta el 30 de enero de 2021 (inclusive), derivado del preocupante aumento del número de contagios en la entidad.</w:t>
      </w:r>
    </w:p>
    <w:p w:rsidR="00AF3062" w:rsidRPr="00AD4CA0" w:rsidRDefault="00AF3062" w:rsidP="00AF3062">
      <w:pPr>
        <w:contextualSpacing/>
        <w:jc w:val="both"/>
        <w:rPr>
          <w:rFonts w:ascii="AvantGarde Bk BT" w:eastAsia="Questrial" w:hAnsi="AvantGarde Bk BT" w:cs="Arial"/>
          <w:color w:val="000000" w:themeColor="text1"/>
          <w:sz w:val="20"/>
          <w:szCs w:val="20"/>
        </w:rPr>
      </w:pPr>
    </w:p>
    <w:p w:rsidR="00AF3062" w:rsidRPr="00052F55" w:rsidRDefault="00AF3062" w:rsidP="00AF3062">
      <w:pPr>
        <w:pStyle w:val="Prrafodelista"/>
        <w:numPr>
          <w:ilvl w:val="0"/>
          <w:numId w:val="3"/>
        </w:numPr>
        <w:contextualSpacing/>
        <w:jc w:val="both"/>
        <w:rPr>
          <w:rFonts w:ascii="AvantGarde Bk BT" w:hAnsi="AvantGarde Bk BT" w:cstheme="minorBidi"/>
          <w:bCs/>
          <w:color w:val="000000" w:themeColor="text1"/>
          <w:sz w:val="22"/>
          <w:szCs w:val="22"/>
          <w:lang w:val="es-ES_tradnl"/>
        </w:rPr>
      </w:pPr>
      <w:r w:rsidRPr="00052F55">
        <w:rPr>
          <w:rFonts w:ascii="AvantGarde Bk BT" w:hAnsi="AvantGarde Bk BT" w:cstheme="minorBidi"/>
          <w:bCs/>
          <w:color w:val="000000" w:themeColor="text1"/>
          <w:sz w:val="22"/>
          <w:szCs w:val="22"/>
          <w:lang w:val="es-ES_tradnl"/>
        </w:rPr>
        <w:t xml:space="preserve">La circular No. 06, suscrita el 29 de enero de 2021, por el Secretario General, en acuerdo con el Rector General, se determinó extender la suspensión de labores administrativas presenciales de la Universidad de Guadalajara, a partir del martes 02 de febrero hasta el sábado 13 de febrero de 2021 (inclusive). </w:t>
      </w:r>
    </w:p>
    <w:p w:rsidR="00AF3062" w:rsidRPr="00052F55" w:rsidRDefault="00AF3062" w:rsidP="00AF3062">
      <w:pPr>
        <w:ind w:right="474"/>
        <w:jc w:val="both"/>
        <w:rPr>
          <w:rFonts w:ascii="AvantGarde Bk BT" w:hAnsi="AvantGarde Bk BT" w:cs="Arial"/>
          <w:i/>
          <w:iCs/>
          <w:color w:val="000000" w:themeColor="text1"/>
          <w:sz w:val="18"/>
          <w:szCs w:val="20"/>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1"/>
          <w:szCs w:val="21"/>
          <w:lang w:val="es-ES_tradnl"/>
        </w:rPr>
      </w:pPr>
      <w:r w:rsidRPr="00052F55">
        <w:rPr>
          <w:rFonts w:ascii="AvantGarde Bk BT" w:hAnsi="AvantGarde Bk BT" w:cs="Arial"/>
          <w:color w:val="000000" w:themeColor="text1"/>
          <w:sz w:val="22"/>
          <w:szCs w:val="22"/>
          <w:lang w:val="es-ES_tradnl"/>
        </w:rPr>
        <w:t>Conforme</w:t>
      </w:r>
      <w:r w:rsidRPr="00052F55">
        <w:rPr>
          <w:rFonts w:ascii="AvantGarde Bk BT" w:hAnsi="AvantGarde Bk BT" w:cs="Arial"/>
          <w:bCs/>
          <w:color w:val="000000" w:themeColor="text1"/>
          <w:sz w:val="22"/>
          <w:szCs w:val="22"/>
          <w:lang w:val="es-ES_tradnl"/>
        </w:rPr>
        <w:t xml:space="preserve"> lo antes mencionado y tomando en consideración la situación actual de la pandemia de </w:t>
      </w:r>
      <w:proofErr w:type="spellStart"/>
      <w:r w:rsidRPr="00052F55">
        <w:rPr>
          <w:rFonts w:ascii="AvantGarde Bk BT" w:hAnsi="AvantGarde Bk BT" w:cs="Arial"/>
          <w:bCs/>
          <w:color w:val="000000" w:themeColor="text1"/>
          <w:sz w:val="22"/>
          <w:szCs w:val="22"/>
          <w:lang w:val="es-ES_tradnl"/>
        </w:rPr>
        <w:t>COVID</w:t>
      </w:r>
      <w:proofErr w:type="spellEnd"/>
      <w:r w:rsidRPr="00052F55">
        <w:rPr>
          <w:rFonts w:ascii="AvantGarde Bk BT" w:hAnsi="AvantGarde Bk BT" w:cs="Arial"/>
          <w:bCs/>
          <w:color w:val="000000" w:themeColor="text1"/>
          <w:sz w:val="22"/>
          <w:szCs w:val="22"/>
          <w:lang w:val="es-ES_tradnl"/>
        </w:rPr>
        <w:t>-19 en el Estado de Jalisco, de la que se registran los niveles más altos en el número de contagios y hospitalizaciones, es evidente que la aplicación del examen de admisión a 24,574 aspirantes registrados, así como la participación de cientos de docentes y personal administrativo, representaría un riesgo para la salud y la vida,  toda vez que con dicha actividad, además de generarse una gran</w:t>
      </w:r>
      <w:r w:rsidRPr="00052F55">
        <w:rPr>
          <w:rFonts w:ascii="AvantGarde Bk BT" w:hAnsi="AvantGarde Bk BT"/>
          <w:bCs/>
          <w:color w:val="000000" w:themeColor="text1"/>
          <w:lang w:val="es-ES_tradnl"/>
        </w:rPr>
        <w:t xml:space="preserve"> </w:t>
      </w:r>
      <w:r w:rsidRPr="00052F55">
        <w:rPr>
          <w:rFonts w:ascii="AvantGarde Bk BT" w:hAnsi="AvantGarde Bk BT"/>
          <w:bCs/>
          <w:color w:val="000000" w:themeColor="text1"/>
          <w:sz w:val="22"/>
          <w:szCs w:val="22"/>
          <w:lang w:val="es-ES_tradnl"/>
        </w:rPr>
        <w:t xml:space="preserve">movilización y traslado de los aspirantes y sus familias, se generan altas concentraciones de personas, lo que representa un riesgo de contagio elevado. </w:t>
      </w:r>
    </w:p>
    <w:p w:rsidR="00AF3062" w:rsidRPr="00AD4CA0" w:rsidRDefault="00AF3062" w:rsidP="00AF3062">
      <w:pPr>
        <w:pStyle w:val="Prrafodelista"/>
        <w:rPr>
          <w:rFonts w:ascii="AvantGarde Bk BT" w:hAnsi="AvantGarde Bk BT"/>
          <w:bCs/>
          <w:color w:val="000000" w:themeColor="text1"/>
          <w:sz w:val="21"/>
          <w:szCs w:val="21"/>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este sentido, el pasado 26 de enero de 2021, los Rectores de los Centros Universitarios, del Sistema de Universidad Virtual y el Director General del Sistema de Educación Media Superior, analizaron la pertinencia de cancelar el examen de ingreso para el ciclo escolar 2021 “A” previsto para su aplicación el próximo 06 de febrero de 2021, tomando en consideración las posibles repercusiones en la salud y la vida de las personas involucradas. </w:t>
      </w:r>
    </w:p>
    <w:p w:rsidR="00AF3062" w:rsidRPr="00AD4CA0" w:rsidRDefault="00AF3062" w:rsidP="00AF3062">
      <w:pPr>
        <w:ind w:right="-2"/>
        <w:contextualSpacing/>
        <w:rPr>
          <w:rFonts w:ascii="AvantGarde Bk BT" w:hAnsi="AvantGarde Bk BT" w:cs="Arial"/>
          <w:bCs/>
          <w:color w:val="000000" w:themeColor="text1"/>
          <w:sz w:val="20"/>
          <w:szCs w:val="20"/>
          <w:lang w:val="es-ES_tradnl" w:eastAsia="es-ES"/>
        </w:rPr>
      </w:pPr>
    </w:p>
    <w:p w:rsidR="00AF3062" w:rsidRPr="00052F55" w:rsidRDefault="00AF3062" w:rsidP="00AF3062">
      <w:pPr>
        <w:pStyle w:val="Prrafodelista"/>
        <w:ind w:left="360"/>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bCs/>
          <w:color w:val="000000" w:themeColor="text1"/>
          <w:sz w:val="22"/>
          <w:szCs w:val="22"/>
          <w:lang w:val="es-ES_tradnl"/>
        </w:rPr>
        <w:t xml:space="preserve">En consecuencia y toda vez que algunos integrantes de las Comisiones Permanentes de Educación (tres integrantes) y Normatividad (dos integrantes) del H. Consejo General Universitario se encontraban presentes en dicha reunión, se tomó la determinación de solicitar al Rector General procediera a informar a la comunidad universitaria y la sociedad en general, la cancelación del examen de ingreso para el ciclo escolar 2021 “A”, así como solicitar a las Comisiones Permanentes de Educación y Normatividad la </w:t>
      </w:r>
      <w:proofErr w:type="spellStart"/>
      <w:r w:rsidRPr="00052F55">
        <w:rPr>
          <w:rFonts w:ascii="AvantGarde Bk BT" w:hAnsi="AvantGarde Bk BT" w:cs="Arial"/>
          <w:bCs/>
          <w:color w:val="000000" w:themeColor="text1"/>
          <w:sz w:val="22"/>
          <w:szCs w:val="22"/>
          <w:lang w:val="es-ES_tradnl"/>
        </w:rPr>
        <w:t>dictaminación</w:t>
      </w:r>
      <w:proofErr w:type="spellEnd"/>
      <w:r w:rsidRPr="00052F55">
        <w:rPr>
          <w:rFonts w:ascii="AvantGarde Bk BT" w:hAnsi="AvantGarde Bk BT" w:cs="Arial"/>
          <w:bCs/>
          <w:color w:val="000000" w:themeColor="text1"/>
          <w:sz w:val="22"/>
          <w:szCs w:val="22"/>
          <w:lang w:val="es-ES_tradnl"/>
        </w:rPr>
        <w:t xml:space="preserve"> de dicha resolución.</w:t>
      </w:r>
    </w:p>
    <w:p w:rsidR="00AF3062" w:rsidRPr="00AD4CA0" w:rsidRDefault="00AF3062" w:rsidP="00AF3062">
      <w:pPr>
        <w:pStyle w:val="Prrafodelista"/>
        <w:ind w:left="360"/>
        <w:contextualSpacing/>
        <w:jc w:val="both"/>
        <w:rPr>
          <w:rFonts w:ascii="AvantGarde Bk BT" w:hAnsi="AvantGarde Bk BT" w:cs="Arial"/>
          <w:bCs/>
          <w:color w:val="000000" w:themeColor="text1"/>
          <w:sz w:val="20"/>
          <w:szCs w:val="20"/>
          <w:lang w:val="es-ES_tradnl"/>
        </w:rPr>
      </w:pPr>
    </w:p>
    <w:p w:rsidR="00AF3062" w:rsidRPr="00052F55" w:rsidRDefault="00AF3062" w:rsidP="00AF3062">
      <w:pPr>
        <w:pStyle w:val="Prrafodelista"/>
        <w:numPr>
          <w:ilvl w:val="0"/>
          <w:numId w:val="3"/>
        </w:numPr>
        <w:contextualSpacing/>
        <w:jc w:val="both"/>
        <w:rPr>
          <w:rFonts w:ascii="AvantGarde Bk BT" w:hAnsi="AvantGarde Bk BT" w:cs="Arial"/>
          <w:bCs/>
          <w:color w:val="000000" w:themeColor="text1"/>
          <w:sz w:val="22"/>
          <w:szCs w:val="22"/>
          <w:lang w:val="es-ES_tradnl"/>
        </w:rPr>
      </w:pPr>
      <w:r w:rsidRPr="00052F55">
        <w:rPr>
          <w:rFonts w:ascii="AvantGarde Bk BT" w:hAnsi="AvantGarde Bk BT" w:cs="Arial"/>
          <w:color w:val="000000" w:themeColor="text1"/>
          <w:sz w:val="22"/>
          <w:szCs w:val="22"/>
          <w:lang w:val="es-ES_tradnl"/>
        </w:rPr>
        <w:t>Por</w:t>
      </w:r>
      <w:r w:rsidRPr="00052F55">
        <w:rPr>
          <w:rFonts w:ascii="AvantGarde Bk BT" w:hAnsi="AvantGarde Bk BT" w:cs="Arial"/>
          <w:bCs/>
          <w:color w:val="000000" w:themeColor="text1"/>
          <w:sz w:val="22"/>
          <w:szCs w:val="22"/>
          <w:lang w:val="es-ES_tradnl"/>
        </w:rPr>
        <w:t xml:space="preserve"> lo anterior, estas Comisiones Permanentes de Educación y de Normatividad del H. Consejo General Universitario</w:t>
      </w:r>
      <w:r w:rsidRPr="00F6208B">
        <w:rPr>
          <w:rFonts w:ascii="AvantGarde Bk BT" w:hAnsi="AvantGarde Bk BT" w:cs="Arial"/>
          <w:bCs/>
          <w:color w:val="0432FF"/>
          <w:sz w:val="22"/>
          <w:szCs w:val="22"/>
          <w:lang w:val="es-ES_tradnl"/>
        </w:rPr>
        <w:t xml:space="preserve">, </w:t>
      </w:r>
      <w:r w:rsidRPr="005D6FDE">
        <w:rPr>
          <w:rFonts w:ascii="AvantGarde Bk BT" w:hAnsi="AvantGarde Bk BT" w:cs="Arial"/>
          <w:bCs/>
          <w:color w:val="000000" w:themeColor="text1"/>
          <w:sz w:val="22"/>
          <w:szCs w:val="22"/>
          <w:lang w:val="es-ES_tradnl"/>
        </w:rPr>
        <w:t xml:space="preserve">en congruencia con los esfuerzos que la Universidad de Guadalajara ha venido realizando para contener los estragos de la pandemia y evitar que su comunidad universitaria y la sociedad en general tenga un daño a su salud y a su vida, estiman pertinente modificar el Resolutivo Segundo </w:t>
      </w:r>
      <w:r w:rsidRPr="00052F55">
        <w:rPr>
          <w:rFonts w:ascii="AvantGarde Bk BT" w:hAnsi="AvantGarde Bk BT" w:cs="Arial"/>
          <w:bCs/>
          <w:color w:val="000000" w:themeColor="text1"/>
          <w:sz w:val="22"/>
          <w:szCs w:val="22"/>
          <w:lang w:val="es-ES_tradnl"/>
        </w:rPr>
        <w:t xml:space="preserve">del dictamen I/2020/500, por el que se aprobó el Programa Especial de Atención a Aspirantes de Primer Ingreso a la Universidad de Guadalajara en el ciclo escolar 2021 “A”, a efecto de que la </w:t>
      </w:r>
      <w:proofErr w:type="spellStart"/>
      <w:r w:rsidRPr="00052F55">
        <w:rPr>
          <w:rFonts w:ascii="AvantGarde Bk BT" w:hAnsi="AvantGarde Bk BT" w:cs="Arial"/>
          <w:bCs/>
          <w:color w:val="000000" w:themeColor="text1"/>
          <w:sz w:val="22"/>
          <w:szCs w:val="22"/>
          <w:lang w:val="es-ES_tradnl"/>
        </w:rPr>
        <w:t>dictaminación</w:t>
      </w:r>
      <w:proofErr w:type="spellEnd"/>
      <w:r w:rsidRPr="00052F55">
        <w:rPr>
          <w:rFonts w:ascii="AvantGarde Bk BT" w:hAnsi="AvantGarde Bk BT" w:cs="Arial"/>
          <w:bCs/>
          <w:color w:val="000000" w:themeColor="text1"/>
          <w:sz w:val="22"/>
          <w:szCs w:val="22"/>
          <w:lang w:val="es-ES_tradnl"/>
        </w:rPr>
        <w:t xml:space="preserve"> de ingreso para el ciclo escolar 2021 “A” se realice, como regla general, sin tomar en consideración la presentación del examen de aptitud, a efecto de privilegiar el derecho a la protección de </w:t>
      </w:r>
      <w:r w:rsidRPr="00052F55">
        <w:rPr>
          <w:rFonts w:ascii="AvantGarde Bk BT" w:hAnsi="AvantGarde Bk BT" w:cs="Arial"/>
          <w:bCs/>
          <w:color w:val="000000" w:themeColor="text1"/>
          <w:sz w:val="22"/>
          <w:szCs w:val="22"/>
          <w:lang w:val="es-ES_tradnl"/>
        </w:rPr>
        <w:lastRenderedPageBreak/>
        <w:t xml:space="preserve">la salud y a la vida de los aspirantes y demás personas involucradas en el proceso de ingreso a la Universidad de Guadalajara.  </w:t>
      </w:r>
    </w:p>
    <w:p w:rsidR="00AF3062" w:rsidRPr="00052F55" w:rsidRDefault="00AF3062" w:rsidP="00AF3062">
      <w:pPr>
        <w:jc w:val="both"/>
        <w:rPr>
          <w:rFonts w:ascii="AvantGarde Bk BT" w:hAnsi="AvantGarde Bk BT" w:cs="Arial"/>
          <w:color w:val="000000" w:themeColor="text1"/>
          <w:sz w:val="22"/>
          <w:szCs w:val="22"/>
          <w:lang w:val="es-ES_tradnl"/>
        </w:rPr>
      </w:pPr>
    </w:p>
    <w:p w:rsidR="00AF3062" w:rsidRPr="00052F55" w:rsidRDefault="00AF3062" w:rsidP="00AF3062">
      <w:pPr>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Lo anterior conforme a los siguientes:</w:t>
      </w:r>
    </w:p>
    <w:p w:rsidR="00AF3062" w:rsidRPr="00052F55" w:rsidRDefault="00AF3062" w:rsidP="00AF3062">
      <w:pPr>
        <w:jc w:val="both"/>
        <w:rPr>
          <w:rFonts w:ascii="AvantGarde Bk BT" w:hAnsi="AvantGarde Bk BT" w:cs="Arial"/>
          <w:b/>
          <w:color w:val="000000" w:themeColor="text1"/>
          <w:sz w:val="22"/>
          <w:szCs w:val="22"/>
          <w:lang w:val="es-ES_tradnl"/>
        </w:rPr>
      </w:pPr>
    </w:p>
    <w:p w:rsidR="00AF3062" w:rsidRPr="00052F55" w:rsidRDefault="00AF3062" w:rsidP="00AF3062">
      <w:pPr>
        <w:ind w:right="-522"/>
        <w:jc w:val="center"/>
        <w:rPr>
          <w:rFonts w:ascii="AvantGarde Bk BT" w:hAnsi="AvantGarde Bk BT" w:cs="Arial"/>
          <w:b/>
          <w:color w:val="000000" w:themeColor="text1"/>
          <w:sz w:val="22"/>
          <w:szCs w:val="22"/>
          <w:lang w:val="es-ES_tradnl"/>
        </w:rPr>
      </w:pPr>
      <w:r w:rsidRPr="00052F55">
        <w:rPr>
          <w:rFonts w:ascii="AvantGarde Bk BT" w:hAnsi="AvantGarde Bk BT" w:cs="Arial"/>
          <w:b/>
          <w:color w:val="000000" w:themeColor="text1"/>
          <w:sz w:val="22"/>
          <w:szCs w:val="22"/>
          <w:lang w:val="es-ES_tradnl"/>
        </w:rPr>
        <w:t>FUNDAMENTOS JURÍDICOS</w:t>
      </w:r>
    </w:p>
    <w:p w:rsidR="00AF3062" w:rsidRPr="00052F55" w:rsidRDefault="00AF3062" w:rsidP="00AF3062">
      <w:pPr>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AF3062" w:rsidRPr="00052F55" w:rsidRDefault="00AF3062" w:rsidP="00AF3062">
      <w:pPr>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AF3062" w:rsidRPr="00052F55" w:rsidRDefault="00AF3062" w:rsidP="00AF3062">
      <w:pPr>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AF3062" w:rsidRPr="00052F55" w:rsidRDefault="00AF3062" w:rsidP="00AF3062">
      <w:pPr>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rsidR="00AF3062" w:rsidRPr="00052F55" w:rsidRDefault="00AF3062" w:rsidP="00AF3062">
      <w:pPr>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Que conforme lo previsto en el artículo 27 de la Ley Orgánica, el H. Consejo General Universitario funcionará en pleno o por comisiones.</w:t>
      </w:r>
    </w:p>
    <w:p w:rsidR="00AF3062" w:rsidRPr="00052F55" w:rsidRDefault="00AF3062" w:rsidP="00AF3062">
      <w:pPr>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 xml:space="preserve">Que es atribución del H. Consejo General Universitario </w:t>
      </w:r>
      <w:r w:rsidRPr="00052F55">
        <w:rPr>
          <w:rFonts w:ascii="AvantGarde Bk BT" w:hAnsi="AvantGarde Bk BT" w:cs="Arial"/>
          <w:color w:val="000000" w:themeColor="text1"/>
          <w:spacing w:val="-2"/>
          <w:sz w:val="22"/>
          <w:szCs w:val="22"/>
        </w:rPr>
        <w:t>definir las bases generales para regular el ingreso, promoción y titulación de los alumnos inscritos en cualquiera de los programas académicos que ofrece la Universidad</w:t>
      </w:r>
      <w:r w:rsidRPr="00052F55">
        <w:rPr>
          <w:rFonts w:ascii="AvantGarde Bk BT" w:hAnsi="AvantGarde Bk BT" w:cs="Arial"/>
          <w:color w:val="000000" w:themeColor="text1"/>
          <w:spacing w:val="-2"/>
          <w:sz w:val="22"/>
          <w:szCs w:val="22"/>
          <w:lang w:val="es-ES_tradnl"/>
        </w:rPr>
        <w:t>, según se señala en el artículo 39, fracción IV, del Estatuto General de esta Casa de Estudio.</w:t>
      </w:r>
    </w:p>
    <w:p w:rsidR="00710285" w:rsidRDefault="00710285">
      <w:pPr>
        <w:rPr>
          <w:rFonts w:ascii="AvantGarde Bk BT" w:hAnsi="AvantGarde Bk BT" w:cs="Arial"/>
          <w:color w:val="000000" w:themeColor="text1"/>
          <w:spacing w:val="-2"/>
          <w:sz w:val="22"/>
          <w:szCs w:val="22"/>
          <w:lang w:val="es-ES_tradnl"/>
        </w:rPr>
      </w:pPr>
      <w:r>
        <w:rPr>
          <w:rFonts w:ascii="AvantGarde Bk BT" w:hAnsi="AvantGarde Bk BT" w:cs="Arial"/>
          <w:color w:val="000000" w:themeColor="text1"/>
          <w:spacing w:val="-2"/>
          <w:sz w:val="22"/>
          <w:szCs w:val="22"/>
          <w:lang w:val="es-ES_tradnl"/>
        </w:rPr>
        <w:br w:type="page"/>
      </w:r>
    </w:p>
    <w:p w:rsidR="00AF3062" w:rsidRPr="00052F55" w:rsidRDefault="00AF3062" w:rsidP="00AF3062">
      <w:pPr>
        <w:ind w:left="720"/>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 xml:space="preserve">Que el H. Consejo General Universitario, a efecto de garantizar el derecho a la educación en un plano de igualdad, podrá aprobar programas especiales que determinen condiciones específicas respecto del ingreso de alumnos y revalidación de estudios, por lo que podrá adicionar o dispensar alguno de los requisitos previstos en la norma, de conformidad con el último párrafo del artículo 31 del Estatuto General y el artículo 9 </w:t>
      </w:r>
      <w:proofErr w:type="spellStart"/>
      <w:r w:rsidRPr="00052F55">
        <w:rPr>
          <w:rFonts w:ascii="AvantGarde Bk BT" w:hAnsi="AvantGarde Bk BT" w:cs="Arial"/>
          <w:color w:val="000000" w:themeColor="text1"/>
          <w:spacing w:val="-2"/>
          <w:sz w:val="22"/>
          <w:szCs w:val="22"/>
          <w:lang w:val="es-ES_tradnl"/>
        </w:rPr>
        <w:t>Bis1</w:t>
      </w:r>
      <w:proofErr w:type="spellEnd"/>
      <w:r w:rsidRPr="00052F55">
        <w:rPr>
          <w:rFonts w:ascii="AvantGarde Bk BT" w:hAnsi="AvantGarde Bk BT" w:cs="Arial"/>
          <w:color w:val="000000" w:themeColor="text1"/>
          <w:spacing w:val="-2"/>
          <w:sz w:val="22"/>
          <w:szCs w:val="22"/>
          <w:lang w:val="es-ES_tradnl"/>
        </w:rPr>
        <w:t xml:space="preserve"> del Reglamento General de Ingreso de Alumnos de la Universidad de Guadalajara.</w:t>
      </w:r>
    </w:p>
    <w:p w:rsidR="00AF3062" w:rsidRPr="00052F55" w:rsidRDefault="00AF3062" w:rsidP="00AF3062">
      <w:pPr>
        <w:jc w:val="both"/>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 xml:space="preserve">Que la Comisión Permanente de Educación tiene la atribución de proponer las medidas necesarias para el mejoramiento de los sistemas educativos, los criterios e innovaciones pedagógicas, la administración académica, así como las reformas de las que estén en vigor, </w:t>
      </w:r>
      <w:r w:rsidRPr="00052F55">
        <w:rPr>
          <w:rFonts w:ascii="AvantGarde Bk BT" w:hAnsi="AvantGarde Bk BT" w:cs="Arial"/>
          <w:color w:val="000000" w:themeColor="text1"/>
          <w:spacing w:val="-2"/>
          <w:sz w:val="22"/>
          <w:szCs w:val="22"/>
        </w:rPr>
        <w:t xml:space="preserve">de igual forma de proponer al H. Consejo General Universitario las políticas y lineamientos para regular los procesos de admisión,  promoción  y  acreditación  de  los  alumnos  inscritos  en  cualquier  programa  académico  de  la  Universidad  de Guadalajara, independientemente del nivel y modalidad educativa de que se trate, </w:t>
      </w:r>
      <w:r w:rsidRPr="00052F55">
        <w:rPr>
          <w:rFonts w:ascii="AvantGarde Bk BT" w:hAnsi="AvantGarde Bk BT" w:cs="Arial"/>
          <w:color w:val="000000" w:themeColor="text1"/>
          <w:spacing w:val="-2"/>
          <w:sz w:val="22"/>
          <w:szCs w:val="22"/>
          <w:lang w:val="es-ES_tradnl"/>
        </w:rPr>
        <w:t>de conformidad con el artículo 85, fracciones I y V, del Estatuto General.</w:t>
      </w:r>
    </w:p>
    <w:p w:rsidR="00AF3062" w:rsidRPr="00052F55" w:rsidRDefault="00AF3062" w:rsidP="00AF3062">
      <w:pPr>
        <w:pStyle w:val="Prrafodelista"/>
        <w:rPr>
          <w:rFonts w:ascii="AvantGarde Bk BT" w:hAnsi="AvantGarde Bk BT" w:cs="Arial"/>
          <w:color w:val="000000" w:themeColor="text1"/>
          <w:spacing w:val="-2"/>
          <w:sz w:val="22"/>
          <w:szCs w:val="22"/>
          <w:lang w:val="es-ES_tradnl"/>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 xml:space="preserve">Que la Comisión Permanente de Normatividad tiene la atribución de </w:t>
      </w:r>
      <w:r w:rsidRPr="00052F55">
        <w:rPr>
          <w:rFonts w:ascii="AvantGarde Bk BT" w:hAnsi="AvantGarde Bk BT" w:cs="Arial"/>
          <w:color w:val="000000" w:themeColor="text1"/>
          <w:spacing w:val="-2"/>
          <w:sz w:val="22"/>
          <w:szCs w:val="22"/>
        </w:rPr>
        <w:t>revisar la reglamentación vigente en la Universidad de Guadalajara, procurando en todo momento su actualización, así como</w:t>
      </w:r>
      <w:r w:rsidRPr="00052F55">
        <w:rPr>
          <w:rFonts w:ascii="AvantGarde Bk BT" w:hAnsi="AvantGarde Bk BT" w:cs="Arial"/>
          <w:color w:val="000000" w:themeColor="text1"/>
          <w:spacing w:val="-2"/>
          <w:sz w:val="22"/>
          <w:szCs w:val="22"/>
          <w:lang w:val="es-ES_tradnl"/>
        </w:rPr>
        <w:t xml:space="preserve"> proponer modificaciones o adiciones que se formulen al Estatuto General, Estatutos Orgánicos y Reglamentos de observancia general en el conjunto de la Universidad, de conformidad con lo establecido en el artículo 88, fracciones I y II del Estatuto General.</w:t>
      </w:r>
    </w:p>
    <w:p w:rsidR="00AF3062" w:rsidRPr="00052F55" w:rsidRDefault="00AF3062" w:rsidP="00AF3062">
      <w:pPr>
        <w:pStyle w:val="Prrafodelista"/>
        <w:rPr>
          <w:rFonts w:ascii="AvantGarde Bk BT" w:eastAsia="Questrial" w:hAnsi="AvantGarde Bk BT" w:cs="Arial"/>
          <w:color w:val="000000" w:themeColor="text1"/>
          <w:sz w:val="22"/>
          <w:szCs w:val="22"/>
        </w:rPr>
      </w:pPr>
    </w:p>
    <w:p w:rsidR="00AF3062" w:rsidRPr="00052F55" w:rsidRDefault="00AF3062" w:rsidP="00AF30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052F55">
        <w:rPr>
          <w:rFonts w:ascii="AvantGarde Bk BT" w:hAnsi="AvantGarde Bk BT" w:cs="Arial"/>
          <w:color w:val="000000" w:themeColor="text1"/>
          <w:spacing w:val="-2"/>
          <w:sz w:val="22"/>
          <w:szCs w:val="22"/>
          <w:lang w:val="es-ES_tradnl"/>
        </w:rPr>
        <w:t>Que el Rector General tiene, entre otras, las atribuciones de promover todo lo que contribuya al mejoramiento académico, administrativo y patrimonial de la Universidad; promover el desarrollo de las funciones sustantivas de la Universidad; así como proponer al H. Consejo General Universitario, políticas y estrategias para el cumplimiento y desarrollo de las funciones sustantivas de la Universidad, lo anterior conforme se dispone en la fracción X del artículo 35 de la Ley Orgánica, así como las fracciones I y XIII del artículo 95 del Estatuto General, ambos ordenamientos de la Universidad de Guadalajara.</w:t>
      </w:r>
    </w:p>
    <w:p w:rsidR="00AF3062" w:rsidRPr="00052F55" w:rsidRDefault="00AF3062" w:rsidP="00AF3062">
      <w:pPr>
        <w:autoSpaceDE w:val="0"/>
        <w:autoSpaceDN w:val="0"/>
        <w:adjustRightInd w:val="0"/>
        <w:ind w:right="18"/>
        <w:jc w:val="both"/>
        <w:rPr>
          <w:rFonts w:ascii="AvantGarde Bk BT" w:hAnsi="AvantGarde Bk BT" w:cs="Arial"/>
          <w:color w:val="000000" w:themeColor="text1"/>
          <w:sz w:val="22"/>
          <w:szCs w:val="22"/>
          <w:lang w:val="es-ES_tradnl"/>
        </w:rPr>
      </w:pPr>
    </w:p>
    <w:p w:rsidR="00AF3062" w:rsidRPr="00052F55" w:rsidRDefault="00AF3062" w:rsidP="00AF3062">
      <w:pPr>
        <w:autoSpaceDE w:val="0"/>
        <w:autoSpaceDN w:val="0"/>
        <w:adjustRightInd w:val="0"/>
        <w:ind w:right="18"/>
        <w:jc w:val="both"/>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 xml:space="preserve">Por lo antes expuesto y fundado, estas </w:t>
      </w:r>
      <w:r w:rsidRPr="00052F55">
        <w:rPr>
          <w:rFonts w:ascii="AvantGarde Bk BT" w:hAnsi="AvantGarde Bk BT"/>
          <w:color w:val="000000" w:themeColor="text1"/>
          <w:sz w:val="22"/>
          <w:szCs w:val="22"/>
          <w:lang w:val="es-ES_tradnl"/>
        </w:rPr>
        <w:t xml:space="preserve">Comisiones Permanentes de Educación y de Normatividad </w:t>
      </w:r>
      <w:r w:rsidRPr="00052F55">
        <w:rPr>
          <w:rFonts w:ascii="AvantGarde Bk BT" w:hAnsi="AvantGarde Bk BT" w:cs="Arial"/>
          <w:color w:val="000000" w:themeColor="text1"/>
          <w:sz w:val="22"/>
          <w:szCs w:val="22"/>
          <w:lang w:val="es-ES_tradnl"/>
        </w:rPr>
        <w:t>del H. Consejo General Universitario, tienen a bien proponer los siguientes:</w:t>
      </w:r>
    </w:p>
    <w:p w:rsidR="00AF3062" w:rsidRPr="00052F55" w:rsidRDefault="00AF3062" w:rsidP="00AF3062">
      <w:pPr>
        <w:autoSpaceDE w:val="0"/>
        <w:autoSpaceDN w:val="0"/>
        <w:adjustRightInd w:val="0"/>
        <w:ind w:right="18"/>
        <w:jc w:val="both"/>
        <w:rPr>
          <w:rFonts w:ascii="AvantGarde Bk BT" w:hAnsi="AvantGarde Bk BT" w:cs="Arial"/>
          <w:color w:val="000000" w:themeColor="text1"/>
          <w:sz w:val="22"/>
          <w:szCs w:val="22"/>
          <w:lang w:val="es-ES_tradnl"/>
        </w:rPr>
      </w:pPr>
    </w:p>
    <w:p w:rsidR="00AF3062" w:rsidRPr="00052F55" w:rsidRDefault="00AF3062" w:rsidP="00AF3062">
      <w:pPr>
        <w:autoSpaceDE w:val="0"/>
        <w:autoSpaceDN w:val="0"/>
        <w:adjustRightInd w:val="0"/>
        <w:ind w:right="18"/>
        <w:jc w:val="center"/>
        <w:rPr>
          <w:rFonts w:ascii="AvantGarde Bk BT" w:hAnsi="AvantGarde Bk BT" w:cs="Arial"/>
          <w:color w:val="000000" w:themeColor="text1"/>
          <w:sz w:val="22"/>
          <w:szCs w:val="22"/>
          <w:lang w:val="es-ES_tradnl"/>
        </w:rPr>
      </w:pPr>
      <w:r w:rsidRPr="00052F55">
        <w:rPr>
          <w:rFonts w:ascii="AvantGarde Bk BT" w:hAnsi="AvantGarde Bk BT" w:cs="Arial"/>
          <w:b/>
          <w:color w:val="000000" w:themeColor="text1"/>
          <w:sz w:val="22"/>
          <w:szCs w:val="22"/>
          <w:lang w:val="es-ES_tradnl"/>
        </w:rPr>
        <w:t>RESOLUTIVOS</w:t>
      </w:r>
    </w:p>
    <w:p w:rsidR="00AF3062" w:rsidRPr="00052F55" w:rsidRDefault="00AF3062" w:rsidP="00AF3062">
      <w:pPr>
        <w:rPr>
          <w:rFonts w:ascii="AvantGarde Bk BT" w:hAnsi="AvantGarde Bk BT" w:cs="Arial"/>
          <w:color w:val="000000" w:themeColor="text1"/>
          <w:sz w:val="22"/>
          <w:szCs w:val="22"/>
          <w:lang w:val="es-ES_tradnl"/>
        </w:rPr>
      </w:pPr>
    </w:p>
    <w:p w:rsidR="00AF3062" w:rsidRPr="00052F55" w:rsidRDefault="00AF3062" w:rsidP="00AF3062">
      <w:pPr>
        <w:jc w:val="both"/>
        <w:rPr>
          <w:rFonts w:ascii="AvantGarde Bk BT" w:hAnsi="AvantGarde Bk BT"/>
          <w:color w:val="000000" w:themeColor="text1"/>
          <w:sz w:val="22"/>
          <w:szCs w:val="22"/>
          <w:lang w:val="es-ES_tradnl"/>
        </w:rPr>
      </w:pPr>
      <w:r w:rsidRPr="00052F55">
        <w:rPr>
          <w:rFonts w:ascii="AvantGarde Bk BT" w:hAnsi="AvantGarde Bk BT" w:cs="Arial"/>
          <w:b/>
          <w:color w:val="000000" w:themeColor="text1"/>
          <w:sz w:val="22"/>
          <w:szCs w:val="22"/>
          <w:lang w:val="es-ES_tradnl"/>
        </w:rPr>
        <w:t xml:space="preserve">PRIMERO. </w:t>
      </w:r>
      <w:r w:rsidRPr="00052F55">
        <w:rPr>
          <w:rFonts w:ascii="AvantGarde Bk BT" w:hAnsi="AvantGarde Bk BT" w:cs="Arial"/>
          <w:color w:val="000000" w:themeColor="text1"/>
          <w:sz w:val="22"/>
          <w:szCs w:val="22"/>
          <w:lang w:val="es-ES_tradnl"/>
        </w:rPr>
        <w:t xml:space="preserve">Se </w:t>
      </w:r>
      <w:r w:rsidRPr="00052F55">
        <w:rPr>
          <w:rFonts w:ascii="AvantGarde Bk BT" w:hAnsi="AvantGarde Bk BT" w:cs="Arial"/>
          <w:b/>
          <w:color w:val="000000" w:themeColor="text1"/>
          <w:sz w:val="22"/>
          <w:szCs w:val="22"/>
          <w:lang w:val="es-ES_tradnl"/>
        </w:rPr>
        <w:t>modifica el resolutivo Segundo del Dictamen número I/2020/500</w:t>
      </w:r>
      <w:r w:rsidRPr="00052F55">
        <w:rPr>
          <w:rFonts w:ascii="AvantGarde Bk BT" w:hAnsi="AvantGarde Bk BT" w:cs="Arial"/>
          <w:color w:val="000000" w:themeColor="text1"/>
          <w:sz w:val="22"/>
          <w:szCs w:val="22"/>
          <w:lang w:val="es-ES_tradnl"/>
        </w:rPr>
        <w:t xml:space="preserve">, mediante el cual se </w:t>
      </w:r>
      <w:r w:rsidRPr="00052F55">
        <w:rPr>
          <w:rFonts w:ascii="AvantGarde Bk BT" w:hAnsi="AvantGarde Bk BT"/>
          <w:bCs/>
          <w:color w:val="000000" w:themeColor="text1"/>
          <w:sz w:val="22"/>
          <w:szCs w:val="22"/>
          <w:lang w:val="es-ES_tradnl"/>
        </w:rPr>
        <w:t xml:space="preserve">aprueba el </w:t>
      </w:r>
      <w:r w:rsidRPr="00052F55">
        <w:rPr>
          <w:rFonts w:ascii="AvantGarde Bk BT" w:hAnsi="AvantGarde Bk BT"/>
          <w:color w:val="000000" w:themeColor="text1"/>
          <w:sz w:val="22"/>
          <w:szCs w:val="22"/>
          <w:lang w:val="es-ES_tradnl"/>
        </w:rPr>
        <w:t>Programa Especial de Atención a Aspirantes de Primer Ingreso a la Universidad de Guadalajara en el ciclo escolar 2021 “A”,</w:t>
      </w:r>
      <w:r w:rsidRPr="00052F55">
        <w:rPr>
          <w:rFonts w:ascii="AvantGarde Bk BT" w:hAnsi="AvantGarde Bk BT"/>
          <w:b/>
          <w:color w:val="000000" w:themeColor="text1"/>
          <w:sz w:val="22"/>
          <w:szCs w:val="22"/>
          <w:lang w:val="es-ES_tradnl"/>
        </w:rPr>
        <w:t xml:space="preserve"> </w:t>
      </w:r>
      <w:r w:rsidRPr="00052F55">
        <w:rPr>
          <w:rFonts w:ascii="AvantGarde Bk BT" w:hAnsi="AvantGarde Bk BT"/>
          <w:color w:val="000000" w:themeColor="text1"/>
          <w:sz w:val="22"/>
          <w:szCs w:val="22"/>
          <w:lang w:val="es-ES_tradnl"/>
        </w:rPr>
        <w:t xml:space="preserve">implementado para disminuir el impacto de la Pandemia de </w:t>
      </w:r>
      <w:proofErr w:type="spellStart"/>
      <w:r w:rsidRPr="00052F55">
        <w:rPr>
          <w:rFonts w:ascii="AvantGarde Bk BT" w:hAnsi="AvantGarde Bk BT"/>
          <w:color w:val="000000" w:themeColor="text1"/>
          <w:sz w:val="22"/>
          <w:szCs w:val="22"/>
          <w:lang w:val="es-ES_tradnl"/>
        </w:rPr>
        <w:t>Covid</w:t>
      </w:r>
      <w:proofErr w:type="spellEnd"/>
      <w:r w:rsidRPr="00052F55">
        <w:rPr>
          <w:rFonts w:ascii="AvantGarde Bk BT" w:hAnsi="AvantGarde Bk BT"/>
          <w:color w:val="000000" w:themeColor="text1"/>
          <w:sz w:val="22"/>
          <w:szCs w:val="22"/>
          <w:lang w:val="es-ES_tradnl"/>
        </w:rPr>
        <w:t>-19, para quedar como sigue:</w:t>
      </w:r>
    </w:p>
    <w:p w:rsidR="00AF3062" w:rsidRPr="00052F55" w:rsidRDefault="00AF3062" w:rsidP="00AF3062">
      <w:pPr>
        <w:ind w:right="-2"/>
        <w:contextualSpacing/>
        <w:jc w:val="both"/>
        <w:rPr>
          <w:rFonts w:ascii="AvantGarde Bk BT" w:hAnsi="AvantGarde Bk BT"/>
          <w:b/>
          <w:color w:val="000000" w:themeColor="text1"/>
          <w:lang w:val="es-ES_tradnl"/>
        </w:rPr>
      </w:pPr>
    </w:p>
    <w:p w:rsidR="00AF3062" w:rsidRPr="00710285" w:rsidRDefault="00AF3062" w:rsidP="00AF3062">
      <w:pPr>
        <w:ind w:left="708" w:right="758"/>
        <w:contextualSpacing/>
        <w:jc w:val="both"/>
        <w:rPr>
          <w:rFonts w:ascii="AvantGarde Bk BT" w:hAnsi="AvantGarde Bk BT"/>
          <w:bCs/>
          <w:i/>
          <w:color w:val="000000" w:themeColor="text1"/>
          <w:lang w:val="es-ES_tradnl"/>
        </w:rPr>
      </w:pPr>
      <w:r w:rsidRPr="00710285">
        <w:rPr>
          <w:rFonts w:ascii="AvantGarde Bk BT" w:hAnsi="AvantGarde Bk BT"/>
          <w:b/>
          <w:i/>
          <w:color w:val="000000" w:themeColor="text1"/>
          <w:lang w:val="es-ES_tradnl"/>
        </w:rPr>
        <w:lastRenderedPageBreak/>
        <w:t>SEGUNDO.</w:t>
      </w:r>
      <w:r w:rsidRPr="00710285">
        <w:rPr>
          <w:rFonts w:ascii="AvantGarde Bk BT" w:hAnsi="AvantGarde Bk BT"/>
          <w:bCs/>
          <w:i/>
          <w:color w:val="000000" w:themeColor="text1"/>
          <w:lang w:val="es-ES_tradnl"/>
        </w:rPr>
        <w:t xml:space="preserve"> Se exime de la presentación del examen de aptitud a los aspirantes a ingresar a cualquiera de los planes de estudio de pregrado de la Red Universitaria, para el ciclo escolar 2021 “A”.</w:t>
      </w:r>
    </w:p>
    <w:p w:rsidR="00AF3062" w:rsidRPr="00710285" w:rsidRDefault="00AF3062" w:rsidP="00AF3062">
      <w:pPr>
        <w:ind w:left="708" w:right="758"/>
        <w:contextualSpacing/>
        <w:jc w:val="both"/>
        <w:rPr>
          <w:rFonts w:ascii="AvantGarde Bk BT" w:hAnsi="AvantGarde Bk BT"/>
          <w:bCs/>
          <w:i/>
          <w:color w:val="000000" w:themeColor="text1"/>
          <w:lang w:val="es-ES_tradnl"/>
        </w:rPr>
      </w:pPr>
    </w:p>
    <w:p w:rsidR="00AF3062" w:rsidRPr="00710285" w:rsidRDefault="00AF3062" w:rsidP="00AF3062">
      <w:pPr>
        <w:ind w:left="708" w:right="758"/>
        <w:contextualSpacing/>
        <w:jc w:val="both"/>
        <w:rPr>
          <w:rFonts w:ascii="AvantGarde Bk BT" w:hAnsi="AvantGarde Bk BT"/>
          <w:bCs/>
          <w:i/>
          <w:color w:val="000000" w:themeColor="text1"/>
          <w:lang w:val="es-ES_tradnl"/>
        </w:rPr>
      </w:pPr>
      <w:r w:rsidRPr="00710285">
        <w:rPr>
          <w:rFonts w:ascii="AvantGarde Bk BT" w:hAnsi="AvantGarde Bk BT"/>
          <w:bCs/>
          <w:i/>
          <w:color w:val="000000" w:themeColor="text1"/>
          <w:lang w:val="es-ES_tradnl"/>
        </w:rPr>
        <w:t>La admisión a cada uno de los planes de estudio de pregrado de la Red Universitaria correspondiente al ciclo escolar 2021 “A”, se dictaminará únicamente con base en el promedio de los estudios precedentes, a partir del mayor promedio, en orden descendente y hasta cubrir el cupo disponible en cada uno de los planes de estudio.</w:t>
      </w:r>
    </w:p>
    <w:p w:rsidR="00AF3062" w:rsidRPr="00710285" w:rsidRDefault="00AF3062" w:rsidP="00AF3062">
      <w:pPr>
        <w:ind w:left="708" w:right="758"/>
        <w:contextualSpacing/>
        <w:jc w:val="both"/>
        <w:rPr>
          <w:rFonts w:ascii="AvantGarde Bk BT" w:hAnsi="AvantGarde Bk BT"/>
          <w:bCs/>
          <w:i/>
          <w:color w:val="000000" w:themeColor="text1"/>
          <w:lang w:val="es-ES_tradnl"/>
        </w:rPr>
      </w:pPr>
    </w:p>
    <w:p w:rsidR="00AF3062" w:rsidRPr="00710285" w:rsidRDefault="00AF3062" w:rsidP="00AF3062">
      <w:pPr>
        <w:ind w:left="708" w:right="758"/>
        <w:contextualSpacing/>
        <w:jc w:val="both"/>
        <w:rPr>
          <w:rFonts w:ascii="AvantGarde Bk BT" w:hAnsi="AvantGarde Bk BT"/>
          <w:bCs/>
          <w:i/>
          <w:color w:val="000000" w:themeColor="text1"/>
          <w:lang w:val="es-ES_tradnl"/>
        </w:rPr>
      </w:pPr>
      <w:r w:rsidRPr="00710285">
        <w:rPr>
          <w:rFonts w:ascii="AvantGarde Bk BT" w:hAnsi="AvantGarde Bk BT"/>
          <w:bCs/>
          <w:i/>
          <w:color w:val="000000" w:themeColor="text1"/>
          <w:lang w:val="es-ES_tradnl"/>
        </w:rPr>
        <w:t>Los aspirantes deberán cumplir con todos los demás requisitos contemplados en la normatividad universitaria.</w:t>
      </w:r>
    </w:p>
    <w:p w:rsidR="00AF3062" w:rsidRPr="00710285" w:rsidRDefault="00AF3062" w:rsidP="00AF3062">
      <w:pPr>
        <w:ind w:left="708" w:right="758"/>
        <w:contextualSpacing/>
        <w:jc w:val="both"/>
        <w:rPr>
          <w:rFonts w:ascii="AvantGarde Bk BT" w:hAnsi="AvantGarde Bk BT"/>
          <w:bCs/>
          <w:i/>
          <w:color w:val="000000" w:themeColor="text1"/>
          <w:lang w:val="es-ES_tradnl"/>
        </w:rPr>
      </w:pPr>
    </w:p>
    <w:p w:rsidR="00AF3062" w:rsidRPr="00710285" w:rsidRDefault="00AF3062" w:rsidP="00AF3062">
      <w:pPr>
        <w:ind w:left="708" w:right="758"/>
        <w:jc w:val="both"/>
        <w:rPr>
          <w:rFonts w:ascii="AvantGarde Bk BT" w:hAnsi="AvantGarde Bk BT" w:cs="Arial"/>
          <w:color w:val="000000" w:themeColor="text1"/>
          <w:lang w:val="es-ES_tradnl"/>
        </w:rPr>
      </w:pPr>
      <w:r w:rsidRPr="00710285">
        <w:rPr>
          <w:rFonts w:ascii="AvantGarde Bk BT" w:hAnsi="AvantGarde Bk BT"/>
          <w:bCs/>
          <w:i/>
          <w:color w:val="000000" w:themeColor="text1"/>
          <w:lang w:val="es-ES_tradnl"/>
        </w:rPr>
        <w:t>La Comisión de Educación del Consejo de Centro Universitario o Sistema correspondiente podrá determinar la posibilidad de incluir o excluir algún otro requisito de ingreso, como podrían ser exámenes específicos de aptitud, conocimientos y/o habilidades, de acuerdo con el plan de estudios correspondiente. Dicha Comisión tendrá la obligación de informar a las Comisiones Permanentes de Educación y de Normatividad del Consejo General Universitario las determinaciones correspondientes.</w:t>
      </w:r>
    </w:p>
    <w:p w:rsidR="00710285" w:rsidRDefault="00710285" w:rsidP="00AF3062">
      <w:pPr>
        <w:ind w:right="51"/>
        <w:jc w:val="both"/>
        <w:rPr>
          <w:rFonts w:ascii="AvantGarde Bk BT" w:hAnsi="AvantGarde Bk BT" w:cs="Arial"/>
          <w:b/>
          <w:color w:val="000000" w:themeColor="text1"/>
          <w:lang w:val="es-ES_tradnl"/>
        </w:rPr>
      </w:pPr>
    </w:p>
    <w:p w:rsidR="00AD4CA0" w:rsidRDefault="00AD4CA0" w:rsidP="00AF3062">
      <w:pPr>
        <w:ind w:right="51"/>
        <w:jc w:val="both"/>
        <w:rPr>
          <w:rFonts w:ascii="AvantGarde Bk BT" w:hAnsi="AvantGarde Bk BT" w:cs="Arial"/>
          <w:b/>
          <w:color w:val="000000" w:themeColor="text1"/>
          <w:sz w:val="22"/>
          <w:szCs w:val="22"/>
          <w:lang w:val="es-ES_tradnl"/>
        </w:rPr>
      </w:pPr>
    </w:p>
    <w:p w:rsidR="00AF3062" w:rsidRPr="00052F55" w:rsidRDefault="00AF3062" w:rsidP="00AF3062">
      <w:pPr>
        <w:ind w:right="51"/>
        <w:jc w:val="both"/>
        <w:rPr>
          <w:rFonts w:ascii="AvantGarde Bk BT" w:hAnsi="AvantGarde Bk BT" w:cs="Arial"/>
          <w:color w:val="000000" w:themeColor="text1"/>
          <w:sz w:val="22"/>
          <w:szCs w:val="22"/>
          <w:lang w:val="es-ES_tradnl"/>
        </w:rPr>
      </w:pPr>
      <w:r w:rsidRPr="00052F55">
        <w:rPr>
          <w:rFonts w:ascii="AvantGarde Bk BT" w:hAnsi="AvantGarde Bk BT" w:cs="Arial"/>
          <w:b/>
          <w:color w:val="000000" w:themeColor="text1"/>
          <w:sz w:val="22"/>
          <w:szCs w:val="22"/>
          <w:lang w:val="es-ES_tradnl"/>
        </w:rPr>
        <w:t>SEGUNDO</w:t>
      </w:r>
      <w:r w:rsidRPr="00052F55">
        <w:rPr>
          <w:rFonts w:ascii="AvantGarde Bk BT" w:hAnsi="AvantGarde Bk BT" w:cs="Arial"/>
          <w:color w:val="000000" w:themeColor="text1"/>
          <w:sz w:val="22"/>
          <w:szCs w:val="22"/>
          <w:lang w:val="es-ES_tradnl"/>
        </w:rPr>
        <w:t>. Notifíquese a los titulares de los Centros Universitarios y Sistemas, de la Red Universitaria, lo establecido en el presente Dictamen para efectos de su implementación.</w:t>
      </w:r>
    </w:p>
    <w:p w:rsidR="00710285" w:rsidRDefault="00710285">
      <w:pPr>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br w:type="page"/>
      </w:r>
    </w:p>
    <w:p w:rsidR="00AF3062" w:rsidRPr="00052F55" w:rsidRDefault="00AF3062" w:rsidP="00AF3062">
      <w:pPr>
        <w:ind w:right="51"/>
        <w:jc w:val="both"/>
        <w:rPr>
          <w:rFonts w:ascii="AvantGarde Bk BT" w:hAnsi="AvantGarde Bk BT" w:cs="Arial"/>
          <w:color w:val="000000" w:themeColor="text1"/>
          <w:sz w:val="22"/>
          <w:szCs w:val="22"/>
          <w:lang w:val="es-ES_tradnl"/>
        </w:rPr>
      </w:pPr>
    </w:p>
    <w:p w:rsidR="00AF3062" w:rsidRPr="00052F55" w:rsidRDefault="00AF3062" w:rsidP="00AF3062">
      <w:pPr>
        <w:ind w:right="51"/>
        <w:jc w:val="both"/>
        <w:rPr>
          <w:rFonts w:ascii="AvantGarde Bk BT" w:hAnsi="AvantGarde Bk BT" w:cs="Arial"/>
          <w:color w:val="000000" w:themeColor="text1"/>
          <w:sz w:val="22"/>
          <w:szCs w:val="22"/>
          <w:lang w:val="es-ES_tradnl"/>
        </w:rPr>
      </w:pPr>
      <w:r w:rsidRPr="00052F55">
        <w:rPr>
          <w:rFonts w:ascii="AvantGarde Bk BT" w:hAnsi="AvantGarde Bk BT" w:cs="Arial"/>
          <w:b/>
          <w:color w:val="000000" w:themeColor="text1"/>
          <w:sz w:val="22"/>
          <w:szCs w:val="22"/>
          <w:lang w:val="es-ES_tradnl"/>
        </w:rPr>
        <w:t>TERCERO</w:t>
      </w:r>
      <w:r w:rsidRPr="00052F55">
        <w:rPr>
          <w:rFonts w:ascii="AvantGarde Bk BT" w:hAnsi="AvantGarde Bk BT" w:cs="Arial"/>
          <w:color w:val="000000" w:themeColor="text1"/>
          <w:sz w:val="22"/>
          <w:szCs w:val="22"/>
          <w:lang w:val="es-ES_tradnl"/>
        </w:rPr>
        <w:t xml:space="preserve">. </w:t>
      </w:r>
      <w:r w:rsidRPr="00052F55">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AF3062" w:rsidRPr="00052F55" w:rsidRDefault="00AF3062" w:rsidP="00AF3062">
      <w:pPr>
        <w:rPr>
          <w:rFonts w:ascii="AvantGarde Bk BT" w:hAnsi="AvantGarde Bk BT" w:cs="Arial"/>
          <w:b/>
          <w:color w:val="000000" w:themeColor="text1"/>
          <w:sz w:val="22"/>
          <w:szCs w:val="22"/>
          <w:lang w:val="es-ES_tradnl"/>
        </w:rPr>
      </w:pPr>
    </w:p>
    <w:p w:rsidR="00AF3062" w:rsidRPr="00052F55" w:rsidRDefault="00AF3062" w:rsidP="00AF3062">
      <w:pPr>
        <w:ind w:right="51"/>
        <w:jc w:val="both"/>
        <w:rPr>
          <w:rFonts w:ascii="AvantGarde Bk BT" w:hAnsi="AvantGarde Bk BT" w:cs="Arial"/>
          <w:color w:val="000000" w:themeColor="text1"/>
          <w:sz w:val="22"/>
          <w:szCs w:val="22"/>
          <w:lang w:val="es-ES_tradnl"/>
        </w:rPr>
      </w:pPr>
      <w:r w:rsidRPr="00052F55">
        <w:rPr>
          <w:rFonts w:ascii="AvantGarde Bk BT" w:hAnsi="AvantGarde Bk BT" w:cs="Arial"/>
          <w:b/>
          <w:color w:val="000000" w:themeColor="text1"/>
          <w:sz w:val="22"/>
          <w:szCs w:val="22"/>
          <w:lang w:val="es-ES_tradnl"/>
        </w:rPr>
        <w:t>CUARTO</w:t>
      </w:r>
      <w:r w:rsidRPr="00052F55">
        <w:rPr>
          <w:rFonts w:ascii="AvantGarde Bk BT" w:hAnsi="AvantGarde Bk BT" w:cs="Arial"/>
          <w:b/>
          <w:bCs/>
          <w:color w:val="000000" w:themeColor="text1"/>
          <w:sz w:val="22"/>
          <w:szCs w:val="22"/>
          <w:lang w:val="es-ES_tradnl"/>
        </w:rPr>
        <w:t xml:space="preserve">. </w:t>
      </w:r>
      <w:r w:rsidRPr="00052F55">
        <w:rPr>
          <w:rFonts w:ascii="AvantGarde Bk BT" w:hAnsi="AvantGarde Bk BT" w:cs="Arial"/>
          <w:color w:val="000000" w:themeColor="text1"/>
          <w:sz w:val="22"/>
          <w:szCs w:val="22"/>
          <w:lang w:val="es-ES_tradnl"/>
        </w:rPr>
        <w:t>Publíquese el presente dictamen en “La Gaceta de la Universidad de Guadalajara”.</w:t>
      </w:r>
    </w:p>
    <w:p w:rsidR="00AF3062" w:rsidRPr="00052F55" w:rsidRDefault="00AF3062" w:rsidP="00AF3062">
      <w:pPr>
        <w:autoSpaceDE w:val="0"/>
        <w:autoSpaceDN w:val="0"/>
        <w:adjustRightInd w:val="0"/>
        <w:ind w:right="51"/>
        <w:jc w:val="both"/>
        <w:rPr>
          <w:rFonts w:ascii="AvantGarde Bk BT" w:hAnsi="AvantGarde Bk BT" w:cs="Arial"/>
          <w:b/>
          <w:bCs/>
          <w:color w:val="000000" w:themeColor="text1"/>
          <w:sz w:val="22"/>
          <w:szCs w:val="22"/>
          <w:lang w:val="es-ES_tradnl"/>
        </w:rPr>
      </w:pPr>
    </w:p>
    <w:p w:rsidR="00AF3062" w:rsidRPr="00052F55" w:rsidRDefault="00AF3062" w:rsidP="00AF3062">
      <w:pPr>
        <w:jc w:val="both"/>
        <w:rPr>
          <w:rFonts w:ascii="AvantGarde Bk BT" w:hAnsi="AvantGarde Bk BT" w:cs="Arial"/>
          <w:b/>
          <w:bCs/>
          <w:color w:val="000000" w:themeColor="text1"/>
          <w:sz w:val="20"/>
          <w:szCs w:val="21"/>
          <w:lang w:val="es-ES_tradnl"/>
        </w:rPr>
      </w:pPr>
    </w:p>
    <w:p w:rsidR="00AF3062" w:rsidRPr="00052F55" w:rsidRDefault="00AF3062" w:rsidP="00AF3062">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A t e n t a m e n t e</w:t>
      </w:r>
    </w:p>
    <w:p w:rsidR="00AF3062" w:rsidRPr="00052F55" w:rsidRDefault="00AF3062" w:rsidP="00AF3062">
      <w:pPr>
        <w:jc w:val="center"/>
        <w:rPr>
          <w:rFonts w:ascii="AvantGarde Bk BT" w:hAnsi="AvantGarde Bk BT" w:cs="Arial"/>
          <w:b/>
          <w:color w:val="000000" w:themeColor="text1"/>
          <w:sz w:val="22"/>
          <w:szCs w:val="22"/>
          <w:lang w:val="es-ES_tradnl"/>
        </w:rPr>
      </w:pPr>
      <w:r w:rsidRPr="00052F55">
        <w:rPr>
          <w:rFonts w:ascii="AvantGarde Bk BT" w:hAnsi="AvantGarde Bk BT" w:cs="Arial"/>
          <w:b/>
          <w:color w:val="000000" w:themeColor="text1"/>
          <w:sz w:val="22"/>
          <w:szCs w:val="22"/>
          <w:lang w:val="es-ES_tradnl"/>
        </w:rPr>
        <w:t>"PIENSA Y TRABAJA"</w:t>
      </w:r>
    </w:p>
    <w:p w:rsidR="00AF3062" w:rsidRPr="00052F55" w:rsidRDefault="00AF3062" w:rsidP="00AF3062">
      <w:pPr>
        <w:jc w:val="center"/>
        <w:rPr>
          <w:rFonts w:ascii="AvantGarde Bk BT" w:hAnsi="AvantGarde Bk BT" w:cs="Arial"/>
          <w:b/>
          <w:i/>
          <w:color w:val="000000" w:themeColor="text1"/>
          <w:sz w:val="22"/>
          <w:szCs w:val="22"/>
        </w:rPr>
      </w:pPr>
      <w:r w:rsidRPr="00052F55">
        <w:rPr>
          <w:rFonts w:ascii="AvantGarde Bk BT" w:hAnsi="AvantGarde Bk BT" w:cs="Arial"/>
          <w:b/>
          <w:i/>
          <w:color w:val="000000" w:themeColor="text1"/>
          <w:sz w:val="22"/>
          <w:szCs w:val="22"/>
          <w:lang w:val="es-ES_tradnl"/>
        </w:rPr>
        <w:t>“</w:t>
      </w:r>
      <w:r w:rsidRPr="00052F55">
        <w:rPr>
          <w:rFonts w:ascii="AvantGarde Bk BT" w:hAnsi="AvantGarde Bk BT" w:cs="Arial"/>
          <w:b/>
          <w:bCs/>
          <w:i/>
          <w:iCs/>
          <w:color w:val="000000" w:themeColor="text1"/>
          <w:sz w:val="22"/>
          <w:szCs w:val="22"/>
        </w:rPr>
        <w:t>Año del legado de Fray Antonio Alcalde en Guadalajara”</w:t>
      </w:r>
    </w:p>
    <w:p w:rsidR="00AF3062" w:rsidRPr="00052F55" w:rsidRDefault="00AF3062" w:rsidP="00AF3062">
      <w:pPr>
        <w:jc w:val="center"/>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Guadalajara, Jal., a 05 de febrero de 2021</w:t>
      </w:r>
    </w:p>
    <w:p w:rsidR="00AF3062" w:rsidRPr="00052F55" w:rsidRDefault="00AF3062" w:rsidP="00AF3062">
      <w:pPr>
        <w:jc w:val="center"/>
        <w:rPr>
          <w:rFonts w:ascii="AvantGarde Bk BT" w:hAnsi="AvantGarde Bk BT" w:cs="Arial"/>
          <w:color w:val="000000" w:themeColor="text1"/>
          <w:sz w:val="22"/>
          <w:szCs w:val="22"/>
          <w:lang w:val="es-ES_tradnl"/>
        </w:rPr>
      </w:pPr>
      <w:r w:rsidRPr="00052F55">
        <w:rPr>
          <w:rFonts w:ascii="AvantGarde Bk BT" w:hAnsi="AvantGarde Bk BT" w:cs="Arial"/>
          <w:color w:val="000000" w:themeColor="text1"/>
          <w:sz w:val="22"/>
          <w:szCs w:val="22"/>
          <w:lang w:val="es-ES_tradnl"/>
        </w:rPr>
        <w:t>Comisiones Permanentes de Educación y de Normatividad</w:t>
      </w:r>
    </w:p>
    <w:p w:rsidR="00AF3062" w:rsidRPr="00052F55" w:rsidRDefault="00AF3062" w:rsidP="00AF3062">
      <w:pPr>
        <w:rPr>
          <w:rFonts w:ascii="AvantGarde Bk BT" w:hAnsi="AvantGarde Bk BT" w:cs="Arial"/>
          <w:color w:val="000000" w:themeColor="text1"/>
          <w:sz w:val="22"/>
          <w:szCs w:val="22"/>
          <w:lang w:val="es-ES_tradnl"/>
        </w:rPr>
      </w:pPr>
    </w:p>
    <w:p w:rsidR="00AF3062" w:rsidRDefault="00AF3062" w:rsidP="00AF3062">
      <w:pPr>
        <w:rPr>
          <w:rFonts w:ascii="AvantGarde Bk BT" w:hAnsi="AvantGarde Bk BT" w:cs="Arial"/>
          <w:color w:val="000000" w:themeColor="text1"/>
          <w:sz w:val="22"/>
          <w:szCs w:val="22"/>
          <w:lang w:val="es-ES_tradnl"/>
        </w:rPr>
      </w:pPr>
    </w:p>
    <w:p w:rsidR="00AD4CA0" w:rsidRPr="00052F55" w:rsidRDefault="00AD4CA0" w:rsidP="00AF3062">
      <w:pPr>
        <w:rPr>
          <w:rFonts w:ascii="AvantGarde Bk BT" w:hAnsi="AvantGarde Bk BT" w:cs="Arial"/>
          <w:color w:val="000000" w:themeColor="text1"/>
          <w:sz w:val="22"/>
          <w:szCs w:val="22"/>
          <w:lang w:val="es-ES_tradnl"/>
        </w:rPr>
      </w:pPr>
      <w:bookmarkStart w:id="1" w:name="_GoBack"/>
      <w:bookmarkEnd w:id="1"/>
    </w:p>
    <w:p w:rsidR="00AF3062" w:rsidRPr="00052F55" w:rsidRDefault="00AF3062" w:rsidP="00AF3062">
      <w:pPr>
        <w:jc w:val="center"/>
        <w:rPr>
          <w:rFonts w:ascii="AvantGarde Bk BT" w:hAnsi="AvantGarde Bk BT"/>
          <w:b/>
          <w:bCs/>
          <w:color w:val="000000" w:themeColor="text1"/>
          <w:sz w:val="22"/>
          <w:szCs w:val="22"/>
          <w:lang w:val="es-ES_tradnl"/>
        </w:rPr>
      </w:pPr>
      <w:r w:rsidRPr="00052F55">
        <w:rPr>
          <w:rFonts w:ascii="AvantGarde Bk BT" w:hAnsi="AvantGarde Bk BT"/>
          <w:b/>
          <w:bCs/>
          <w:color w:val="000000" w:themeColor="text1"/>
          <w:sz w:val="22"/>
          <w:szCs w:val="22"/>
          <w:lang w:val="es-ES_tradnl"/>
        </w:rPr>
        <w:t>Dr. Ricardo Villanueva Lomelí</w:t>
      </w:r>
    </w:p>
    <w:p w:rsidR="00AF3062" w:rsidRPr="00052F55" w:rsidRDefault="00AF3062" w:rsidP="00AF3062">
      <w:pPr>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Presidente</w:t>
      </w:r>
    </w:p>
    <w:p w:rsidR="00AF3062" w:rsidRPr="00052F55" w:rsidRDefault="00AF3062" w:rsidP="00AF3062">
      <w:pPr>
        <w:rPr>
          <w:rFonts w:ascii="AvantGarde Bk BT" w:eastAsia="Calibri" w:hAnsi="AvantGarde Bk BT"/>
          <w:color w:val="000000" w:themeColor="text1"/>
          <w:sz w:val="20"/>
          <w:szCs w:val="20"/>
          <w:lang w:val="es-ES_tradnl"/>
        </w:rPr>
      </w:pPr>
    </w:p>
    <w:tbl>
      <w:tblPr>
        <w:tblW w:w="5052" w:type="pct"/>
        <w:jc w:val="center"/>
        <w:tblLook w:val="0400" w:firstRow="0" w:lastRow="0" w:firstColumn="0" w:lastColumn="0" w:noHBand="0" w:noVBand="1"/>
      </w:tblPr>
      <w:tblGrid>
        <w:gridCol w:w="4822"/>
        <w:gridCol w:w="4681"/>
      </w:tblGrid>
      <w:tr w:rsidR="00AF3062" w:rsidRPr="00052F55" w:rsidTr="00AD0603">
        <w:trPr>
          <w:trHeight w:val="954"/>
          <w:jc w:val="center"/>
        </w:trPr>
        <w:tc>
          <w:tcPr>
            <w:tcW w:w="2537"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Dr. Juan Manuel Durán Juárez</w:t>
            </w:r>
          </w:p>
        </w:tc>
        <w:tc>
          <w:tcPr>
            <w:tcW w:w="2463"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Mtro. César Antonio Barba Delgadillo</w:t>
            </w:r>
          </w:p>
        </w:tc>
      </w:tr>
      <w:tr w:rsidR="00AF3062" w:rsidRPr="00052F55" w:rsidTr="00AD0603">
        <w:trPr>
          <w:trHeight w:val="1193"/>
          <w:jc w:val="center"/>
        </w:trPr>
        <w:tc>
          <w:tcPr>
            <w:tcW w:w="2537"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 xml:space="preserve">Mtra. Karla Alejandrina </w:t>
            </w:r>
            <w:proofErr w:type="spellStart"/>
            <w:r w:rsidRPr="00052F55">
              <w:rPr>
                <w:rFonts w:ascii="AvantGarde Bk BT" w:hAnsi="AvantGarde Bk BT"/>
                <w:color w:val="000000" w:themeColor="text1"/>
                <w:sz w:val="22"/>
                <w:szCs w:val="22"/>
                <w:lang w:val="es-ES_tradnl"/>
              </w:rPr>
              <w:t>Planter</w:t>
            </w:r>
            <w:proofErr w:type="spellEnd"/>
            <w:r w:rsidRPr="00052F55">
              <w:rPr>
                <w:rFonts w:ascii="AvantGarde Bk BT" w:hAnsi="AvantGarde Bk BT"/>
                <w:color w:val="000000" w:themeColor="text1"/>
                <w:sz w:val="22"/>
                <w:szCs w:val="22"/>
                <w:lang w:val="es-ES_tradnl"/>
              </w:rPr>
              <w:t xml:space="preserve"> Pérez</w:t>
            </w:r>
          </w:p>
        </w:tc>
        <w:tc>
          <w:tcPr>
            <w:tcW w:w="2463"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 xml:space="preserve">Mtro. Tadeo Eduardo </w:t>
            </w:r>
            <w:proofErr w:type="spellStart"/>
            <w:r w:rsidRPr="00052F55">
              <w:rPr>
                <w:rFonts w:ascii="AvantGarde Bk BT" w:hAnsi="AvantGarde Bk BT"/>
                <w:color w:val="000000" w:themeColor="text1"/>
                <w:sz w:val="22"/>
                <w:szCs w:val="22"/>
                <w:lang w:val="es-ES_tradnl"/>
              </w:rPr>
              <w:t>Hübbe</w:t>
            </w:r>
            <w:proofErr w:type="spellEnd"/>
            <w:r w:rsidRPr="00052F55">
              <w:rPr>
                <w:rFonts w:ascii="AvantGarde Bk BT" w:hAnsi="AvantGarde Bk BT"/>
                <w:color w:val="000000" w:themeColor="text1"/>
                <w:sz w:val="22"/>
                <w:szCs w:val="22"/>
                <w:lang w:val="es-ES_tradnl"/>
              </w:rPr>
              <w:t xml:space="preserve"> Contreras</w:t>
            </w:r>
          </w:p>
        </w:tc>
      </w:tr>
      <w:tr w:rsidR="00AF3062" w:rsidRPr="00052F55" w:rsidTr="00AD0603">
        <w:trPr>
          <w:trHeight w:val="1014"/>
          <w:jc w:val="center"/>
        </w:trPr>
        <w:tc>
          <w:tcPr>
            <w:tcW w:w="2537" w:type="pct"/>
            <w:vAlign w:val="center"/>
          </w:tcPr>
          <w:p w:rsidR="00AF3062" w:rsidRPr="00052F55" w:rsidRDefault="00AF3062" w:rsidP="00AD0603">
            <w:pPr>
              <w:ind w:left="284"/>
              <w:jc w:val="center"/>
              <w:rPr>
                <w:rFonts w:ascii="AvantGarde Bk BT" w:hAnsi="AvantGarde Bk BT"/>
                <w:strike/>
                <w:color w:val="000000" w:themeColor="text1"/>
                <w:sz w:val="22"/>
                <w:szCs w:val="22"/>
                <w:lang w:val="es-ES_tradnl"/>
              </w:rPr>
            </w:pPr>
            <w:r w:rsidRPr="00052F55">
              <w:rPr>
                <w:rFonts w:ascii="AvantGarde Bk BT" w:hAnsi="AvantGarde Bk BT"/>
                <w:color w:val="000000" w:themeColor="text1"/>
                <w:sz w:val="22"/>
                <w:szCs w:val="22"/>
                <w:lang w:val="es-ES_tradnl"/>
              </w:rPr>
              <w:t>Dr. Jaime Federico Andrade Villanueva</w:t>
            </w:r>
          </w:p>
        </w:tc>
        <w:tc>
          <w:tcPr>
            <w:tcW w:w="2463"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Dr. Hans Jurado Parres</w:t>
            </w:r>
          </w:p>
        </w:tc>
      </w:tr>
      <w:tr w:rsidR="00AF3062" w:rsidRPr="00052F55" w:rsidTr="00AD0603">
        <w:trPr>
          <w:trHeight w:val="1270"/>
          <w:jc w:val="center"/>
        </w:trPr>
        <w:tc>
          <w:tcPr>
            <w:tcW w:w="2537"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C. Ana Sofía Padilla Herrera</w:t>
            </w:r>
          </w:p>
        </w:tc>
        <w:tc>
          <w:tcPr>
            <w:tcW w:w="2463" w:type="pct"/>
            <w:vAlign w:val="center"/>
          </w:tcPr>
          <w:p w:rsidR="00AF3062" w:rsidRPr="00052F55" w:rsidRDefault="00AF3062" w:rsidP="00AD0603">
            <w:pPr>
              <w:ind w:left="284"/>
              <w:jc w:val="center"/>
              <w:rPr>
                <w:rFonts w:ascii="AvantGarde Bk BT" w:hAnsi="AvantGarde Bk BT"/>
                <w:color w:val="000000" w:themeColor="text1"/>
                <w:sz w:val="22"/>
                <w:szCs w:val="22"/>
                <w:lang w:val="es-ES_tradnl"/>
              </w:rPr>
            </w:pPr>
            <w:r w:rsidRPr="00052F55">
              <w:rPr>
                <w:rFonts w:ascii="AvantGarde Bk BT" w:hAnsi="AvantGarde Bk BT"/>
                <w:color w:val="000000" w:themeColor="text1"/>
                <w:sz w:val="22"/>
                <w:szCs w:val="22"/>
                <w:lang w:val="es-ES_tradnl"/>
              </w:rPr>
              <w:t xml:space="preserve">C. Alfonso Martin Sánchez </w:t>
            </w:r>
          </w:p>
        </w:tc>
      </w:tr>
    </w:tbl>
    <w:p w:rsidR="00AF3062" w:rsidRDefault="00AF3062" w:rsidP="00AF3062">
      <w:pPr>
        <w:rPr>
          <w:rFonts w:ascii="AvantGarde Bk BT" w:eastAsia="Calibri" w:hAnsi="AvantGarde Bk BT"/>
          <w:color w:val="000000" w:themeColor="text1"/>
          <w:sz w:val="22"/>
          <w:szCs w:val="22"/>
          <w:lang w:val="es-ES_tradnl"/>
        </w:rPr>
      </w:pPr>
    </w:p>
    <w:p w:rsidR="00AD4CA0" w:rsidRPr="00052F55" w:rsidRDefault="00AD4CA0" w:rsidP="00AF3062">
      <w:pPr>
        <w:rPr>
          <w:rFonts w:ascii="AvantGarde Bk BT" w:eastAsia="Calibri" w:hAnsi="AvantGarde Bk BT"/>
          <w:color w:val="000000" w:themeColor="text1"/>
          <w:sz w:val="22"/>
          <w:szCs w:val="22"/>
          <w:lang w:val="es-ES_tradnl"/>
        </w:rPr>
      </w:pPr>
    </w:p>
    <w:p w:rsidR="00AF3062" w:rsidRPr="00052F55" w:rsidRDefault="00AF3062" w:rsidP="00AF3062">
      <w:pPr>
        <w:jc w:val="center"/>
        <w:rPr>
          <w:rFonts w:ascii="AvantGarde Bk BT" w:hAnsi="AvantGarde Bk BT"/>
          <w:b/>
          <w:bCs/>
          <w:color w:val="000000" w:themeColor="text1"/>
          <w:sz w:val="22"/>
          <w:szCs w:val="22"/>
          <w:lang w:val="es-ES_tradnl"/>
        </w:rPr>
      </w:pPr>
      <w:r w:rsidRPr="00052F55">
        <w:rPr>
          <w:rFonts w:ascii="AvantGarde Bk BT" w:hAnsi="AvantGarde Bk BT"/>
          <w:b/>
          <w:bCs/>
          <w:color w:val="000000" w:themeColor="text1"/>
          <w:sz w:val="22"/>
          <w:szCs w:val="22"/>
          <w:lang w:val="es-ES_tradnl"/>
        </w:rPr>
        <w:t>Mtro. Guillermo Arturo Gómez Mata</w:t>
      </w:r>
    </w:p>
    <w:p w:rsidR="00AF3062" w:rsidRPr="00052F55" w:rsidRDefault="00AF3062" w:rsidP="00AF3062">
      <w:pPr>
        <w:jc w:val="center"/>
        <w:rPr>
          <w:rFonts w:ascii="AvantGarde Bk BT" w:hAnsi="AvantGarde Bk BT"/>
          <w:color w:val="000000" w:themeColor="text1"/>
          <w:sz w:val="28"/>
          <w:szCs w:val="28"/>
          <w:lang w:val="es-ES_tradnl"/>
        </w:rPr>
      </w:pPr>
      <w:r w:rsidRPr="00052F55">
        <w:rPr>
          <w:rFonts w:ascii="AvantGarde Bk BT" w:hAnsi="AvantGarde Bk BT"/>
          <w:bCs/>
          <w:color w:val="000000" w:themeColor="text1"/>
          <w:sz w:val="22"/>
          <w:szCs w:val="22"/>
          <w:lang w:val="es-ES_tradnl"/>
        </w:rPr>
        <w:t>Secretario de Actas y Acuerdos</w:t>
      </w:r>
    </w:p>
    <w:p w:rsidR="00F81AB4" w:rsidRDefault="00F81AB4"/>
    <w:sectPr w:rsidR="00F81AB4" w:rsidSect="0087761E">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50E0" w:rsidRDefault="00FE50E0" w:rsidP="00AF3062">
      <w:r>
        <w:separator/>
      </w:r>
    </w:p>
  </w:endnote>
  <w:endnote w:type="continuationSeparator" w:id="0">
    <w:p w:rsidR="00FE50E0" w:rsidRDefault="00FE50E0" w:rsidP="00AF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antGarde Bk BT">
    <w:altName w:val="Century Gothic"/>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Book">
    <w:altName w:val="Avenir Black"/>
    <w:panose1 w:val="020B0402020202020204"/>
    <w:charset w:val="00"/>
    <w:family w:val="swiss"/>
    <w:pitch w:val="variable"/>
    <w:sig w:usb0="00000003" w:usb1="00000000" w:usb2="00000000" w:usb3="00000000" w:csb0="00000001" w:csb1="00000000"/>
  </w:font>
  <w:font w:name="Questrial">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D8C" w:rsidRPr="00F63339" w:rsidRDefault="00C2221F" w:rsidP="009343DF">
    <w:pPr>
      <w:pStyle w:val="Piedepgina"/>
      <w:jc w:val="center"/>
      <w:rPr>
        <w:sz w:val="17"/>
        <w:szCs w:val="17"/>
      </w:rPr>
    </w:pPr>
    <w:r w:rsidRPr="00F63339">
      <w:rPr>
        <w:sz w:val="17"/>
        <w:szCs w:val="17"/>
      </w:rPr>
      <w:t xml:space="preserve">Página </w:t>
    </w:r>
    <w:r w:rsidRPr="00F63339">
      <w:rPr>
        <w:sz w:val="17"/>
        <w:szCs w:val="17"/>
      </w:rPr>
      <w:fldChar w:fldCharType="begin"/>
    </w:r>
    <w:r w:rsidRPr="00F63339">
      <w:rPr>
        <w:sz w:val="17"/>
        <w:szCs w:val="17"/>
      </w:rPr>
      <w:instrText xml:space="preserve"> PAGE </w:instrText>
    </w:r>
    <w:r w:rsidRPr="00F63339">
      <w:rPr>
        <w:sz w:val="17"/>
        <w:szCs w:val="17"/>
      </w:rPr>
      <w:fldChar w:fldCharType="separate"/>
    </w:r>
    <w:r>
      <w:rPr>
        <w:noProof/>
        <w:sz w:val="17"/>
        <w:szCs w:val="17"/>
      </w:rPr>
      <w:t>1</w:t>
    </w:r>
    <w:r w:rsidRPr="00F63339">
      <w:rPr>
        <w:sz w:val="17"/>
        <w:szCs w:val="17"/>
      </w:rPr>
      <w:fldChar w:fldCharType="end"/>
    </w:r>
    <w:r w:rsidRPr="00F63339">
      <w:rPr>
        <w:sz w:val="17"/>
        <w:szCs w:val="17"/>
      </w:rPr>
      <w:t xml:space="preserve"> de </w:t>
    </w:r>
    <w:r w:rsidRPr="00F63339">
      <w:rPr>
        <w:sz w:val="17"/>
        <w:szCs w:val="17"/>
      </w:rPr>
      <w:fldChar w:fldCharType="begin"/>
    </w:r>
    <w:r w:rsidRPr="00F63339">
      <w:rPr>
        <w:sz w:val="17"/>
        <w:szCs w:val="17"/>
      </w:rPr>
      <w:instrText xml:space="preserve"> NUMPAGES </w:instrText>
    </w:r>
    <w:r w:rsidRPr="00F63339">
      <w:rPr>
        <w:sz w:val="17"/>
        <w:szCs w:val="17"/>
      </w:rPr>
      <w:fldChar w:fldCharType="separate"/>
    </w:r>
    <w:r>
      <w:rPr>
        <w:noProof/>
        <w:sz w:val="17"/>
        <w:szCs w:val="17"/>
      </w:rPr>
      <w:t>16</w:t>
    </w:r>
    <w:r w:rsidRPr="00F63339">
      <w:rPr>
        <w:sz w:val="17"/>
        <w:szCs w:val="17"/>
      </w:rPr>
      <w:fldChar w:fldCharType="end"/>
    </w:r>
  </w:p>
  <w:p w:rsidR="00375D8C" w:rsidRPr="00C85DA2" w:rsidRDefault="00C2221F" w:rsidP="00375D8C">
    <w:pPr>
      <w:pStyle w:val="Piedepgina"/>
      <w:spacing w:line="276" w:lineRule="auto"/>
      <w:jc w:val="center"/>
      <w:rPr>
        <w:sz w:val="17"/>
        <w:szCs w:val="17"/>
      </w:rPr>
    </w:pPr>
    <w:r w:rsidRPr="00C85DA2">
      <w:rPr>
        <w:sz w:val="17"/>
        <w:szCs w:val="17"/>
      </w:rPr>
      <w:t>Av. Juárez No. 976, Edificio de la Rectoría General, Piso 5, Colonia Centro C.P. 44100.</w:t>
    </w:r>
  </w:p>
  <w:p w:rsidR="00375D8C" w:rsidRPr="00C85DA2" w:rsidRDefault="00C2221F" w:rsidP="00375D8C">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rsidR="00375D8C" w:rsidRPr="009343DF" w:rsidRDefault="00C2221F" w:rsidP="009343DF">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50E0" w:rsidRDefault="00FE50E0" w:rsidP="00AF3062">
      <w:r>
        <w:separator/>
      </w:r>
    </w:p>
  </w:footnote>
  <w:footnote w:type="continuationSeparator" w:id="0">
    <w:p w:rsidR="00FE50E0" w:rsidRDefault="00FE50E0" w:rsidP="00AF3062">
      <w:r>
        <w:continuationSeparator/>
      </w:r>
    </w:p>
  </w:footnote>
  <w:footnote w:id="1">
    <w:p w:rsidR="00AF3062" w:rsidRPr="00936730"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proofErr w:type="spellStart"/>
      <w:r w:rsidRPr="00E96E8C">
        <w:rPr>
          <w:rFonts w:ascii="AvantGarde Bk BT Book" w:hAnsi="AvantGarde Bk BT Book" w:cs="Arial"/>
          <w:bCs/>
          <w:sz w:val="16"/>
          <w:szCs w:val="22"/>
          <w:lang w:val="es-ES_tradnl"/>
        </w:rPr>
        <w:t>CoID</w:t>
      </w:r>
      <w:r w:rsidRPr="00BC2718">
        <w:rPr>
          <w:rFonts w:ascii="AvantGarde Bk BT Book" w:hAnsi="AvantGarde Bk BT Book" w:cs="Arial"/>
          <w:bCs/>
          <w:color w:val="000000" w:themeColor="text1"/>
          <w:sz w:val="16"/>
          <w:szCs w:val="22"/>
          <w:lang w:val="es-ES_tradnl"/>
        </w:rPr>
        <w:t>H</w:t>
      </w:r>
      <w:proofErr w:type="spellEnd"/>
      <w:r w:rsidRPr="00936730">
        <w:rPr>
          <w:rFonts w:ascii="AvantGarde Bk BT Book" w:hAnsi="AvantGarde Bk BT Book" w:cs="Arial"/>
          <w:bCs/>
          <w:sz w:val="16"/>
          <w:szCs w:val="22"/>
          <w:lang w:val="es-ES_tradnl"/>
        </w:rPr>
        <w:t>. Caso de los “Niños de la Calle” (Villagrán Morales y otros) Vs. Guatemala. Fondo. Sentencia de 19 de noviembre de 1999. Serie C No. 63</w:t>
      </w:r>
      <w:r>
        <w:rPr>
          <w:rFonts w:ascii="AvantGarde Bk BT Book" w:hAnsi="AvantGarde Bk BT Book" w:cs="Arial"/>
          <w:bCs/>
          <w:sz w:val="16"/>
          <w:szCs w:val="22"/>
          <w:lang w:val="es-ES_tradnl"/>
        </w:rPr>
        <w:t xml:space="preserve">. </w:t>
      </w:r>
    </w:p>
  </w:footnote>
  <w:footnote w:id="2">
    <w:p w:rsidR="00AF3062" w:rsidRPr="00F957B4" w:rsidRDefault="00AF3062" w:rsidP="00AF3062">
      <w:pPr>
        <w:pStyle w:val="Textonotapie"/>
        <w:jc w:val="both"/>
      </w:pPr>
      <w:r w:rsidRPr="00B7377D">
        <w:rPr>
          <w:rStyle w:val="Refdenotaalpie"/>
          <w:rFonts w:ascii="AvantGarde Bk BT Book" w:hAnsi="AvantGarde Bk BT Book"/>
          <w:sz w:val="16"/>
          <w:szCs w:val="18"/>
        </w:rPr>
        <w:footnoteRef/>
      </w:r>
      <w:r w:rsidRPr="00B7377D">
        <w:rPr>
          <w:rFonts w:ascii="AvantGarde Bk BT Book" w:hAnsi="AvantGarde Bk BT Book"/>
          <w:sz w:val="16"/>
          <w:szCs w:val="18"/>
        </w:rPr>
        <w:t xml:space="preserve"> </w:t>
      </w:r>
      <w:proofErr w:type="spellStart"/>
      <w:r w:rsidRPr="00E96E8C">
        <w:rPr>
          <w:rFonts w:ascii="AvantGarde Bk BT Book" w:hAnsi="AvantGarde Bk BT Book" w:cs="Arial"/>
          <w:bCs/>
          <w:sz w:val="16"/>
          <w:szCs w:val="22"/>
          <w:lang w:val="es-ES_tradnl"/>
        </w:rPr>
        <w:t>CoIDH</w:t>
      </w:r>
      <w:proofErr w:type="spellEnd"/>
      <w:r w:rsidRPr="00F957B4">
        <w:rPr>
          <w:rFonts w:ascii="AvantGarde Bk BT Book" w:hAnsi="AvantGarde Bk BT Book" w:cs="Arial"/>
          <w:bCs/>
          <w:sz w:val="16"/>
          <w:szCs w:val="22"/>
          <w:lang w:val="es-ES_tradnl"/>
        </w:rPr>
        <w:t>. Caso Hermanos Landaeta Mejías y otros Vs. Venezuela. Excepciones Preliminares, Fondo, Reparaciones y Costas. Sentencia de 27 de agosto de 2014. Serie C No. 281</w:t>
      </w:r>
      <w:r>
        <w:rPr>
          <w:rFonts w:ascii="AvantGarde Bk BT Book" w:hAnsi="AvantGarde Bk BT Book" w:cs="Arial"/>
          <w:bCs/>
          <w:sz w:val="16"/>
          <w:szCs w:val="22"/>
          <w:lang w:val="es-ES_tradnl"/>
        </w:rPr>
        <w:t>.</w:t>
      </w:r>
    </w:p>
  </w:footnote>
  <w:footnote w:id="3">
    <w:p w:rsidR="00AF3062" w:rsidRPr="00F43449" w:rsidRDefault="00AF3062" w:rsidP="00AF3062">
      <w:pPr>
        <w:pStyle w:val="Textonotapie"/>
        <w:jc w:val="both"/>
      </w:pPr>
      <w:r w:rsidRPr="00F957B4">
        <w:rPr>
          <w:rFonts w:ascii="AvantGarde Bk BT Book" w:hAnsi="AvantGarde Bk BT Book" w:cs="Arial"/>
          <w:bCs/>
          <w:sz w:val="16"/>
          <w:szCs w:val="22"/>
          <w:vertAlign w:val="superscript"/>
          <w:lang w:val="es-ES_tradnl"/>
        </w:rPr>
        <w:footnoteRef/>
      </w:r>
      <w:r w:rsidRPr="00F957B4">
        <w:rPr>
          <w:rFonts w:ascii="AvantGarde Bk BT Book" w:hAnsi="AvantGarde Bk BT Book" w:cs="Arial"/>
          <w:bCs/>
          <w:sz w:val="16"/>
          <w:szCs w:val="22"/>
          <w:lang w:val="es-ES_tradnl"/>
        </w:rPr>
        <w:t xml:space="preserve"> </w:t>
      </w:r>
      <w:proofErr w:type="spellStart"/>
      <w:r w:rsidRPr="00E96E8C">
        <w:rPr>
          <w:rFonts w:ascii="AvantGarde Bk BT Book" w:hAnsi="AvantGarde Bk BT Book" w:cs="Arial"/>
          <w:bCs/>
          <w:sz w:val="16"/>
          <w:szCs w:val="22"/>
          <w:lang w:val="es-ES_tradnl"/>
        </w:rPr>
        <w:t>CoID</w:t>
      </w:r>
      <w:r w:rsidRPr="00BC2718">
        <w:rPr>
          <w:rFonts w:ascii="AvantGarde Bk BT Book" w:hAnsi="AvantGarde Bk BT Book" w:cs="Arial"/>
          <w:bCs/>
          <w:color w:val="000000" w:themeColor="text1"/>
          <w:sz w:val="16"/>
          <w:szCs w:val="22"/>
          <w:lang w:val="es-ES_tradnl"/>
        </w:rPr>
        <w:t>H</w:t>
      </w:r>
      <w:proofErr w:type="spellEnd"/>
      <w:r w:rsidRPr="00F957B4">
        <w:rPr>
          <w:rFonts w:ascii="AvantGarde Bk BT Book" w:hAnsi="AvantGarde Bk BT Book" w:cs="Arial"/>
          <w:bCs/>
          <w:sz w:val="16"/>
          <w:szCs w:val="22"/>
          <w:lang w:val="es-ES_tradnl"/>
        </w:rPr>
        <w:t>. Caso Godínez Cruz vs. Honduras. Fondo. Sentencia de 20 de enero de 1989. Serie C No. 5</w:t>
      </w:r>
    </w:p>
  </w:footnote>
  <w:footnote w:id="4">
    <w:p w:rsidR="00AF3062" w:rsidRPr="00F957B4"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F957B4">
        <w:rPr>
          <w:rFonts w:ascii="AvantGarde Bk BT Book" w:hAnsi="AvantGarde Bk BT Book" w:cs="Arial"/>
          <w:bCs/>
          <w:sz w:val="16"/>
          <w:szCs w:val="22"/>
          <w:lang w:val="es-ES_tradnl"/>
        </w:rPr>
        <w:t>Tesis</w:t>
      </w:r>
      <w:r>
        <w:rPr>
          <w:rFonts w:ascii="AvantGarde Bk BT Book" w:hAnsi="AvantGarde Bk BT Book" w:cs="Arial"/>
          <w:bCs/>
          <w:sz w:val="16"/>
          <w:szCs w:val="22"/>
          <w:lang w:val="es-ES_tradnl"/>
        </w:rPr>
        <w:t xml:space="preserve">: </w:t>
      </w:r>
      <w:proofErr w:type="spellStart"/>
      <w:r w:rsidRPr="00F957B4">
        <w:rPr>
          <w:rFonts w:ascii="AvantGarde Bk BT Book" w:hAnsi="AvantGarde Bk BT Book" w:cs="Arial"/>
          <w:bCs/>
          <w:sz w:val="16"/>
          <w:szCs w:val="22"/>
          <w:lang w:val="es-ES_tradnl"/>
        </w:rPr>
        <w:t>1a</w:t>
      </w:r>
      <w:proofErr w:type="spellEnd"/>
      <w:r w:rsidRPr="00F957B4">
        <w:rPr>
          <w:rFonts w:ascii="AvantGarde Bk BT Book" w:hAnsi="AvantGarde Bk BT Book" w:cs="Arial"/>
          <w:bCs/>
          <w:sz w:val="16"/>
          <w:szCs w:val="22"/>
          <w:lang w:val="es-ES_tradnl"/>
        </w:rPr>
        <w:t>. CVIII/2014</w:t>
      </w:r>
      <w:r>
        <w:rPr>
          <w:rFonts w:ascii="AvantGarde Bk BT Book" w:hAnsi="AvantGarde Bk BT Book" w:cs="Arial"/>
          <w:bCs/>
          <w:sz w:val="16"/>
          <w:szCs w:val="22"/>
          <w:lang w:val="es-ES_tradnl"/>
        </w:rPr>
        <w:t xml:space="preserve">, </w:t>
      </w:r>
      <w:r w:rsidRPr="008C6C29">
        <w:rPr>
          <w:rFonts w:ascii="AvantGarde Bk BT Book" w:hAnsi="AvantGarde Bk BT Book" w:cs="Arial"/>
          <w:bCs/>
          <w:sz w:val="16"/>
          <w:szCs w:val="22"/>
          <w:lang w:val="es-ES_tradnl"/>
        </w:rPr>
        <w:t>Semanario Judicial de la Federación y su Gaceta</w:t>
      </w:r>
      <w:r>
        <w:rPr>
          <w:rFonts w:ascii="AvantGarde Bk BT Book" w:hAnsi="AvantGarde Bk BT Book" w:cs="Arial"/>
          <w:bCs/>
          <w:sz w:val="16"/>
          <w:szCs w:val="22"/>
          <w:lang w:val="es-ES_tradnl"/>
        </w:rPr>
        <w:t xml:space="preserve">, Décima Época, Primera Sala, Tomo I, marzo de 2014, p. 538, tesis aislada (constitucional), número de registro: </w:t>
      </w:r>
      <w:r w:rsidRPr="00F957B4">
        <w:rPr>
          <w:rFonts w:ascii="AvantGarde Bk BT Book" w:hAnsi="AvantGarde Bk BT Book" w:cs="Arial"/>
          <w:bCs/>
          <w:sz w:val="16"/>
          <w:szCs w:val="22"/>
          <w:lang w:val="es-ES_tradnl"/>
        </w:rPr>
        <w:t>2005919</w:t>
      </w:r>
      <w:r>
        <w:rPr>
          <w:rFonts w:ascii="AvantGarde Bk BT Book" w:hAnsi="AvantGarde Bk BT Book" w:cs="Arial"/>
          <w:bCs/>
          <w:sz w:val="16"/>
          <w:szCs w:val="22"/>
          <w:lang w:val="es-ES_tradnl"/>
        </w:rPr>
        <w:t xml:space="preserve">. </w:t>
      </w:r>
    </w:p>
  </w:footnote>
  <w:footnote w:id="5">
    <w:p w:rsidR="00AF3062" w:rsidRPr="002D32EE"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F23F4B">
        <w:rPr>
          <w:rFonts w:ascii="AvantGarde Bk BT Book" w:hAnsi="AvantGarde Bk BT Book" w:cs="Arial"/>
          <w:bCs/>
          <w:sz w:val="16"/>
          <w:szCs w:val="22"/>
          <w:lang w:val="es-ES_tradnl"/>
        </w:rPr>
        <w:t xml:space="preserve">Tesis: </w:t>
      </w:r>
      <w:proofErr w:type="spellStart"/>
      <w:r w:rsidRPr="00F23F4B">
        <w:rPr>
          <w:rFonts w:ascii="AvantGarde Bk BT Book" w:hAnsi="AvantGarde Bk BT Book" w:cs="Arial"/>
          <w:bCs/>
          <w:sz w:val="16"/>
          <w:szCs w:val="22"/>
          <w:lang w:val="es-ES_tradnl"/>
        </w:rPr>
        <w:t>1a</w:t>
      </w:r>
      <w:proofErr w:type="spellEnd"/>
      <w:r w:rsidRPr="00F23F4B">
        <w:rPr>
          <w:rFonts w:ascii="AvantGarde Bk BT Book" w:hAnsi="AvantGarde Bk BT Book" w:cs="Arial"/>
          <w:bCs/>
          <w:sz w:val="16"/>
          <w:szCs w:val="22"/>
          <w:lang w:val="es-ES_tradnl"/>
        </w:rPr>
        <w:t xml:space="preserve">./J. 8/2019, Semanario Judicial de la Federación y su Gaceta, Décima Época, Primera Sala, Tomo I, febrero de 2019, p. 486, jurisprudencia (constitucional), número de registro: 2019358. </w:t>
      </w:r>
    </w:p>
  </w:footnote>
  <w:footnote w:id="6">
    <w:p w:rsidR="00AF3062" w:rsidRPr="00F23F4B"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F23F4B">
        <w:rPr>
          <w:rFonts w:ascii="AvantGarde Bk BT Book" w:hAnsi="AvantGarde Bk BT Book" w:cs="Arial"/>
          <w:bCs/>
          <w:sz w:val="16"/>
          <w:szCs w:val="22"/>
          <w:lang w:val="es-ES_tradnl"/>
        </w:rPr>
        <w:t>CIDH, Resolución No. 1/2020. Pandemia y Derechos Humanos en las Américas, Organización de Estados Americanos, 2020, recuperado de: https://www.oas.org/es/cidh/decisiones/pdf/Resolucion-1-20-es.pdf, p. 3.</w:t>
      </w:r>
    </w:p>
  </w:footnote>
  <w:footnote w:id="7">
    <w:p w:rsidR="00AF3062" w:rsidRPr="00F23F4B" w:rsidRDefault="00AF3062" w:rsidP="00AF3062">
      <w:pPr>
        <w:pStyle w:val="Textonotapie"/>
        <w:jc w:val="both"/>
        <w:rPr>
          <w:rFonts w:ascii="AvantGarde Bk BT Book" w:hAnsi="AvantGarde Bk BT Book" w:cs="Arial"/>
          <w:bCs/>
          <w:sz w:val="16"/>
          <w:szCs w:val="22"/>
          <w:lang w:val="es-ES_tradnl"/>
        </w:rPr>
      </w:pPr>
      <w:r w:rsidRPr="00B7377D">
        <w:rPr>
          <w:rStyle w:val="Refdenotaalpie"/>
          <w:rFonts w:ascii="AvantGarde Bk BT Book" w:hAnsi="AvantGarde Bk BT Book"/>
          <w:sz w:val="16"/>
          <w:szCs w:val="16"/>
        </w:rPr>
        <w:footnoteRef/>
      </w:r>
      <w:r w:rsidRPr="00F23F4B">
        <w:rPr>
          <w:rFonts w:ascii="AvantGarde Bk BT Book" w:hAnsi="AvantGarde Bk BT Book" w:cs="Arial"/>
          <w:bCs/>
          <w:sz w:val="16"/>
          <w:szCs w:val="22"/>
          <w:lang w:val="es-ES_tradnl"/>
        </w:rPr>
        <w:t>CIDH, Resolución No. 1/2020. Pandemia y Derechos Humanos en las Américas, Organización de Estados Americanos, 2020, recuperado de: https://www.oas.org/es/cidh/decisiones/pdf/Resolucion-1-20-es.pdf, p. 9.</w:t>
      </w:r>
    </w:p>
  </w:footnote>
  <w:footnote w:id="8">
    <w:p w:rsidR="00AF3062" w:rsidRPr="00F23F4B"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F23F4B">
        <w:rPr>
          <w:rFonts w:ascii="AvantGarde Bk BT Book" w:hAnsi="AvantGarde Bk BT Book" w:cs="Arial"/>
          <w:bCs/>
          <w:sz w:val="16"/>
          <w:szCs w:val="22"/>
          <w:lang w:val="es-ES_tradnl"/>
        </w:rPr>
        <w:t xml:space="preserve">Pazmiño Freire, Leoncio Patricio, Derecho a la salud y </w:t>
      </w:r>
      <w:proofErr w:type="spellStart"/>
      <w:r w:rsidRPr="00F23F4B">
        <w:rPr>
          <w:rFonts w:ascii="AvantGarde Bk BT Book" w:hAnsi="AvantGarde Bk BT Book" w:cs="Arial"/>
          <w:bCs/>
          <w:sz w:val="16"/>
          <w:szCs w:val="22"/>
          <w:lang w:val="es-ES_tradnl"/>
        </w:rPr>
        <w:t>Covid</w:t>
      </w:r>
      <w:proofErr w:type="spellEnd"/>
      <w:r w:rsidRPr="00F23F4B">
        <w:rPr>
          <w:rFonts w:ascii="AvantGarde Bk BT Book" w:hAnsi="AvantGarde Bk BT Book" w:cs="Arial"/>
          <w:bCs/>
          <w:sz w:val="16"/>
          <w:szCs w:val="22"/>
          <w:lang w:val="es-ES_tradnl"/>
        </w:rPr>
        <w:t>-19, Una lectura en clave de derechos humanos: indivisibles, interdependientes y no regresivos, Corte Interamericana de Derechos Humanos, 2020, recuperado de: https://www.corteidh.or.cr/tablas/alerta/noticias/Derecho%20a%20la%20salud%20y%20Covid%2019-PPF.pdf, p. 7.</w:t>
      </w:r>
    </w:p>
  </w:footnote>
  <w:footnote w:id="9">
    <w:p w:rsidR="00AF3062" w:rsidRPr="001C64F9" w:rsidRDefault="00AF3062" w:rsidP="00AF3062">
      <w:pPr>
        <w:pStyle w:val="Textonotapie"/>
        <w:jc w:val="both"/>
        <w:rPr>
          <w:color w:val="0000FF"/>
        </w:rPr>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proofErr w:type="spellStart"/>
      <w:r w:rsidRPr="00F23F4B">
        <w:rPr>
          <w:rFonts w:ascii="AvantGarde Bk BT Book" w:hAnsi="AvantGarde Bk BT Book" w:cs="Arial"/>
          <w:bCs/>
          <w:sz w:val="16"/>
          <w:szCs w:val="22"/>
          <w:lang w:val="es-ES_tradnl"/>
        </w:rPr>
        <w:t>ANUIES</w:t>
      </w:r>
      <w:proofErr w:type="spellEnd"/>
      <w:r w:rsidRPr="00F23F4B">
        <w:rPr>
          <w:rFonts w:ascii="AvantGarde Bk BT Book" w:hAnsi="AvantGarde Bk BT Book" w:cs="Arial"/>
          <w:bCs/>
          <w:sz w:val="16"/>
          <w:szCs w:val="22"/>
          <w:lang w:val="es-ES_tradnl"/>
        </w:rPr>
        <w:t xml:space="preserve">, Implementan medidas preventivas con relación al </w:t>
      </w:r>
      <w:proofErr w:type="spellStart"/>
      <w:r w:rsidRPr="00F23F4B">
        <w:rPr>
          <w:rFonts w:ascii="AvantGarde Bk BT Book" w:hAnsi="AvantGarde Bk BT Book" w:cs="Arial"/>
          <w:bCs/>
          <w:sz w:val="16"/>
          <w:szCs w:val="22"/>
          <w:lang w:val="es-ES_tradnl"/>
        </w:rPr>
        <w:t>COVID</w:t>
      </w:r>
      <w:proofErr w:type="spellEnd"/>
      <w:r w:rsidRPr="00F23F4B">
        <w:rPr>
          <w:rFonts w:ascii="AvantGarde Bk BT Book" w:hAnsi="AvantGarde Bk BT Book" w:cs="Arial"/>
          <w:bCs/>
          <w:sz w:val="16"/>
          <w:szCs w:val="22"/>
          <w:lang w:val="es-ES_tradnl"/>
        </w:rPr>
        <w:t xml:space="preserve">-19 para las instituciones de educación superior en el país, </w:t>
      </w:r>
      <w:proofErr w:type="spellStart"/>
      <w:r w:rsidRPr="00F23F4B">
        <w:rPr>
          <w:rFonts w:ascii="AvantGarde Bk BT Book" w:hAnsi="AvantGarde Bk BT Book" w:cs="Arial"/>
          <w:bCs/>
          <w:sz w:val="16"/>
          <w:szCs w:val="22"/>
          <w:lang w:val="es-ES_tradnl"/>
        </w:rPr>
        <w:t>ANUIES</w:t>
      </w:r>
      <w:proofErr w:type="spellEnd"/>
      <w:r w:rsidRPr="00F23F4B">
        <w:rPr>
          <w:rFonts w:ascii="AvantGarde Bk BT Book" w:hAnsi="AvantGarde Bk BT Book" w:cs="Arial"/>
          <w:bCs/>
          <w:sz w:val="16"/>
          <w:szCs w:val="22"/>
          <w:lang w:val="es-ES_tradnl"/>
        </w:rPr>
        <w:t>, México, 2020, recuperado de: http://www.anuies.mx/noticias/implementan-medidas-preventivas-con-relacin-al-covid-19-para-las</w:t>
      </w:r>
    </w:p>
  </w:footnote>
  <w:footnote w:id="10">
    <w:p w:rsidR="00AF3062" w:rsidRPr="001C64F9" w:rsidRDefault="00AF3062" w:rsidP="00AF3062">
      <w:pPr>
        <w:pStyle w:val="Textonotapie"/>
        <w:jc w:val="both"/>
        <w:rPr>
          <w:rFonts w:ascii="AvantGarde Bk BT Book" w:hAnsi="AvantGarde Bk BT Book" w:cs="Arial"/>
          <w:bCs/>
          <w:color w:val="0000FF"/>
          <w:sz w:val="16"/>
          <w:szCs w:val="22"/>
          <w:lang w:val="es-ES_tradnl"/>
        </w:rPr>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proofErr w:type="spellStart"/>
      <w:r w:rsidRPr="00F23F4B">
        <w:rPr>
          <w:rFonts w:ascii="AvantGarde Bk BT Book" w:hAnsi="AvantGarde Bk BT Book" w:cs="Arial"/>
          <w:bCs/>
          <w:sz w:val="16"/>
          <w:szCs w:val="22"/>
          <w:lang w:val="es-ES_tradnl"/>
        </w:rPr>
        <w:t>Gian</w:t>
      </w:r>
      <w:r>
        <w:rPr>
          <w:rFonts w:ascii="AvantGarde Bk BT Book" w:hAnsi="AvantGarde Bk BT Book" w:cs="Arial"/>
          <w:bCs/>
          <w:sz w:val="16"/>
          <w:szCs w:val="22"/>
          <w:lang w:val="es-ES_tradnl"/>
        </w:rPr>
        <w:t>n</w:t>
      </w:r>
      <w:r w:rsidRPr="00F23F4B">
        <w:rPr>
          <w:rFonts w:ascii="AvantGarde Bk BT Book" w:hAnsi="AvantGarde Bk BT Book" w:cs="Arial"/>
          <w:bCs/>
          <w:sz w:val="16"/>
          <w:szCs w:val="22"/>
          <w:lang w:val="es-ES_tradnl"/>
        </w:rPr>
        <w:t>ini</w:t>
      </w:r>
      <w:proofErr w:type="spellEnd"/>
      <w:r w:rsidRPr="00F23F4B">
        <w:rPr>
          <w:rFonts w:ascii="AvantGarde Bk BT Book" w:hAnsi="AvantGarde Bk BT Book" w:cs="Arial"/>
          <w:bCs/>
          <w:sz w:val="16"/>
          <w:szCs w:val="22"/>
          <w:lang w:val="es-ES_tradnl"/>
        </w:rPr>
        <w:t xml:space="preserve">, </w:t>
      </w:r>
      <w:proofErr w:type="spellStart"/>
      <w:r w:rsidRPr="00F23F4B">
        <w:rPr>
          <w:rFonts w:ascii="AvantGarde Bk BT Book" w:hAnsi="AvantGarde Bk BT Book" w:cs="Arial"/>
          <w:bCs/>
          <w:sz w:val="16"/>
          <w:szCs w:val="22"/>
          <w:lang w:val="es-ES_tradnl"/>
        </w:rPr>
        <w:t>Stefania</w:t>
      </w:r>
      <w:proofErr w:type="spellEnd"/>
      <w:r w:rsidRPr="00F23F4B">
        <w:rPr>
          <w:rFonts w:ascii="AvantGarde Bk BT Book" w:hAnsi="AvantGarde Bk BT Book" w:cs="Arial"/>
          <w:bCs/>
          <w:sz w:val="16"/>
          <w:szCs w:val="22"/>
          <w:lang w:val="es-ES_tradnl"/>
        </w:rPr>
        <w:t xml:space="preserve">, Dar prioridad a la salud y al bienestar hoy en día y durante la reapertura de las escuelas, UNESCO, 2020, recuperado de: https://es.unesco.org/news/dar-prioridad-salud-y-al-bienestar-hoy-dia-y-durante-reapertura-escuelas. </w:t>
      </w:r>
    </w:p>
  </w:footnote>
  <w:footnote w:id="11">
    <w:p w:rsidR="00AF3062" w:rsidRPr="00D77D3F"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D77D3F">
        <w:rPr>
          <w:rFonts w:ascii="AvantGarde Bk BT Book" w:hAnsi="AvantGarde Bk BT Book" w:cs="Arial"/>
          <w:bCs/>
          <w:sz w:val="16"/>
          <w:szCs w:val="22"/>
          <w:lang w:val="es-ES_tradnl"/>
        </w:rPr>
        <w:t xml:space="preserve">Tesis: </w:t>
      </w:r>
      <w:proofErr w:type="spellStart"/>
      <w:r w:rsidRPr="00D77D3F">
        <w:rPr>
          <w:rFonts w:ascii="AvantGarde Bk BT Book" w:hAnsi="AvantGarde Bk BT Book" w:cs="Arial"/>
          <w:bCs/>
          <w:sz w:val="16"/>
          <w:szCs w:val="22"/>
          <w:lang w:val="es-ES_tradnl"/>
        </w:rPr>
        <w:t>1a</w:t>
      </w:r>
      <w:proofErr w:type="spellEnd"/>
      <w:r w:rsidRPr="00D77D3F">
        <w:rPr>
          <w:rFonts w:ascii="AvantGarde Bk BT Book" w:hAnsi="AvantGarde Bk BT Book" w:cs="Arial"/>
          <w:bCs/>
          <w:sz w:val="16"/>
          <w:szCs w:val="22"/>
          <w:lang w:val="es-ES_tradnl"/>
        </w:rPr>
        <w:t>./J. 83/2017 (</w:t>
      </w:r>
      <w:proofErr w:type="spellStart"/>
      <w:r w:rsidRPr="00D77D3F">
        <w:rPr>
          <w:rFonts w:ascii="AvantGarde Bk BT Book" w:hAnsi="AvantGarde Bk BT Book" w:cs="Arial"/>
          <w:bCs/>
          <w:sz w:val="16"/>
          <w:szCs w:val="22"/>
          <w:lang w:val="es-ES_tradnl"/>
        </w:rPr>
        <w:t>10a</w:t>
      </w:r>
      <w:proofErr w:type="spellEnd"/>
      <w:r w:rsidRPr="00D77D3F">
        <w:rPr>
          <w:rFonts w:ascii="AvantGarde Bk BT Book" w:hAnsi="AvantGarde Bk BT Book" w:cs="Arial"/>
          <w:bCs/>
          <w:sz w:val="16"/>
          <w:szCs w:val="22"/>
          <w:lang w:val="es-ES_tradnl"/>
        </w:rPr>
        <w:t xml:space="preserve">.), </w:t>
      </w:r>
      <w:r w:rsidRPr="00F23F4B">
        <w:rPr>
          <w:rFonts w:ascii="AvantGarde Bk BT Book" w:hAnsi="AvantGarde Bk BT Book" w:cs="Arial"/>
          <w:bCs/>
          <w:sz w:val="16"/>
          <w:szCs w:val="22"/>
          <w:lang w:val="es-ES_tradnl"/>
        </w:rPr>
        <w:t>Semanario Judicial de la Federación y su Gaceta, Décima Época</w:t>
      </w:r>
      <w:r>
        <w:rPr>
          <w:rFonts w:ascii="AvantGarde Bk BT Book" w:hAnsi="AvantGarde Bk BT Book" w:cs="Arial"/>
          <w:bCs/>
          <w:sz w:val="16"/>
          <w:szCs w:val="22"/>
          <w:lang w:val="es-ES_tradnl"/>
        </w:rPr>
        <w:t xml:space="preserve">, Primera Sala, Tomo I, octubre de 2017, p. 182, jurisprudencia (constitucional), número de registro: </w:t>
      </w:r>
      <w:r w:rsidRPr="00D77D3F">
        <w:rPr>
          <w:rFonts w:ascii="AvantGarde Bk BT Book" w:hAnsi="AvantGarde Bk BT Book" w:cs="Arial"/>
          <w:bCs/>
          <w:sz w:val="16"/>
          <w:szCs w:val="22"/>
          <w:lang w:val="es-ES_tradnl"/>
        </w:rPr>
        <w:t>2015298</w:t>
      </w:r>
      <w:r>
        <w:rPr>
          <w:rFonts w:ascii="AvantGarde Bk BT Book" w:hAnsi="AvantGarde Bk BT Book" w:cs="Arial"/>
          <w:bCs/>
          <w:sz w:val="16"/>
          <w:szCs w:val="22"/>
          <w:lang w:val="es-ES_tradnl"/>
        </w:rPr>
        <w:t>.</w:t>
      </w:r>
    </w:p>
  </w:footnote>
  <w:footnote w:id="12">
    <w:p w:rsidR="00AF3062" w:rsidRPr="00D77D3F" w:rsidRDefault="00AF3062" w:rsidP="00AF3062">
      <w:pPr>
        <w:pStyle w:val="Textonotapie"/>
        <w:jc w:val="both"/>
      </w:pPr>
      <w:r w:rsidRPr="00B7377D">
        <w:rPr>
          <w:rStyle w:val="Refdenotaalpie"/>
          <w:rFonts w:ascii="AvantGarde Bk BT Book" w:hAnsi="AvantGarde Bk BT Book"/>
          <w:sz w:val="16"/>
          <w:szCs w:val="16"/>
        </w:rPr>
        <w:footnoteRef/>
      </w:r>
      <w:r w:rsidRPr="00B7377D">
        <w:rPr>
          <w:rFonts w:ascii="AvantGarde Bk BT Book" w:hAnsi="AvantGarde Bk BT Book"/>
          <w:sz w:val="16"/>
          <w:szCs w:val="16"/>
        </w:rPr>
        <w:t xml:space="preserve"> </w:t>
      </w:r>
      <w:r w:rsidRPr="006E025D">
        <w:rPr>
          <w:rFonts w:ascii="AvantGarde Bk BT Book" w:hAnsi="AvantGarde Bk BT Book" w:cs="Arial"/>
          <w:bCs/>
          <w:sz w:val="16"/>
          <w:szCs w:val="22"/>
          <w:lang w:val="es-ES_tradnl"/>
        </w:rPr>
        <w:t>UNESCO</w:t>
      </w:r>
      <w:r>
        <w:rPr>
          <w:rFonts w:ascii="AvantGarde Bk BT Book" w:hAnsi="AvantGarde Bk BT Book" w:cs="Arial"/>
          <w:bCs/>
          <w:sz w:val="16"/>
          <w:szCs w:val="22"/>
          <w:lang w:val="es-ES_tradnl"/>
        </w:rPr>
        <w:t xml:space="preserve"> Conferencia mundial sobre la educación superior, </w:t>
      </w:r>
      <w:r w:rsidRPr="006E025D">
        <w:rPr>
          <w:rFonts w:ascii="AvantGarde Bk BT Book" w:hAnsi="AvantGarde Bk BT Book" w:cs="Arial"/>
          <w:bCs/>
          <w:sz w:val="16"/>
          <w:szCs w:val="22"/>
          <w:lang w:val="es-ES_tradnl"/>
        </w:rPr>
        <w:t>Declaración</w:t>
      </w:r>
      <w:r>
        <w:rPr>
          <w:rFonts w:ascii="AvantGarde Bk BT Book" w:hAnsi="AvantGarde Bk BT Book" w:cs="Arial"/>
          <w:bCs/>
          <w:sz w:val="16"/>
          <w:szCs w:val="22"/>
          <w:lang w:val="es-ES_tradnl"/>
        </w:rPr>
        <w:t xml:space="preserve"> Mundial sobre l</w:t>
      </w:r>
      <w:r w:rsidRPr="006E025D">
        <w:rPr>
          <w:rFonts w:ascii="AvantGarde Bk BT Book" w:hAnsi="AvantGarde Bk BT Book" w:cs="Arial"/>
          <w:bCs/>
          <w:sz w:val="16"/>
          <w:szCs w:val="22"/>
          <w:lang w:val="es-ES_tradnl"/>
        </w:rPr>
        <w:t>a Educación</w:t>
      </w:r>
      <w:r>
        <w:rPr>
          <w:rFonts w:ascii="AvantGarde Bk BT Book" w:hAnsi="AvantGarde Bk BT Book" w:cs="Arial"/>
          <w:bCs/>
          <w:sz w:val="16"/>
          <w:szCs w:val="22"/>
          <w:lang w:val="es-ES_tradnl"/>
        </w:rPr>
        <w:t xml:space="preserve"> Superior en el Siglo XXI</w:t>
      </w:r>
      <w:r w:rsidRPr="006E025D">
        <w:rPr>
          <w:rFonts w:ascii="AvantGarde Bk BT Book" w:hAnsi="AvantGarde Bk BT Book" w:cs="Arial"/>
          <w:bCs/>
          <w:sz w:val="16"/>
          <w:szCs w:val="22"/>
          <w:lang w:val="es-ES_tradnl"/>
        </w:rPr>
        <w:t>: Visión</w:t>
      </w:r>
      <w:r>
        <w:rPr>
          <w:rFonts w:ascii="AvantGarde Bk BT Book" w:hAnsi="AvantGarde Bk BT Book" w:cs="Arial"/>
          <w:bCs/>
          <w:sz w:val="16"/>
          <w:szCs w:val="22"/>
          <w:lang w:val="es-ES_tradnl"/>
        </w:rPr>
        <w:t xml:space="preserve"> y</w:t>
      </w:r>
      <w:r w:rsidRPr="006E025D">
        <w:rPr>
          <w:rFonts w:ascii="AvantGarde Bk BT Book" w:hAnsi="AvantGarde Bk BT Book" w:cs="Arial"/>
          <w:bCs/>
          <w:sz w:val="16"/>
          <w:szCs w:val="22"/>
          <w:lang w:val="es-ES_tradnl"/>
        </w:rPr>
        <w:t xml:space="preserve"> Acción</w:t>
      </w:r>
      <w:r>
        <w:rPr>
          <w:rFonts w:ascii="AvantGarde Bk BT Book" w:hAnsi="AvantGarde Bk BT Book" w:cs="Arial"/>
          <w:bCs/>
          <w:sz w:val="16"/>
          <w:szCs w:val="22"/>
          <w:lang w:val="es-ES_tradnl"/>
        </w:rPr>
        <w:t xml:space="preserve">, UNESCO, París, Francia, 1998, recuperado de: </w:t>
      </w:r>
      <w:r w:rsidRPr="006E025D">
        <w:rPr>
          <w:rFonts w:ascii="AvantGarde Bk BT Book" w:hAnsi="AvantGarde Bk BT Book" w:cs="Arial"/>
          <w:bCs/>
          <w:sz w:val="16"/>
          <w:szCs w:val="22"/>
          <w:lang w:val="es-ES_tradnl"/>
        </w:rPr>
        <w:t>https://unesdoc.unesco.org/ark:/48223/pf0000113878_spa/PDF/113878spao.pdf.multi</w:t>
      </w:r>
      <w:r>
        <w:rPr>
          <w:rFonts w:ascii="AvantGarde Bk BT Book" w:hAnsi="AvantGarde Bk BT Book" w:cs="Arial"/>
          <w:bCs/>
          <w:sz w:val="16"/>
          <w:szCs w:val="22"/>
          <w:lang w:val="es-ES_tradnl"/>
        </w:rPr>
        <w:t>, p. 5.</w:t>
      </w:r>
    </w:p>
  </w:footnote>
  <w:footnote w:id="13">
    <w:p w:rsidR="00AF3062" w:rsidRPr="005D6FDE" w:rsidRDefault="00AF3062" w:rsidP="00AF3062">
      <w:pPr>
        <w:jc w:val="both"/>
        <w:rPr>
          <w:rFonts w:ascii="AvantGarde Bk BT Book" w:hAnsi="AvantGarde Bk BT Book" w:cs="Arial"/>
          <w:bCs/>
          <w:color w:val="000000" w:themeColor="text1"/>
          <w:sz w:val="16"/>
          <w:szCs w:val="22"/>
          <w:lang w:val="es-ES_tradnl" w:eastAsia="es-ES"/>
        </w:rPr>
      </w:pPr>
      <w:r w:rsidRPr="005D6FDE">
        <w:rPr>
          <w:rStyle w:val="Refdenotaalpie"/>
          <w:color w:val="000000" w:themeColor="text1"/>
          <w:sz w:val="20"/>
          <w:szCs w:val="16"/>
        </w:rPr>
        <w:footnoteRef/>
      </w:r>
      <w:r w:rsidRPr="005D6FDE">
        <w:rPr>
          <w:rStyle w:val="Refdenotaalpie"/>
          <w:color w:val="000000" w:themeColor="text1"/>
          <w:sz w:val="20"/>
          <w:szCs w:val="16"/>
        </w:rPr>
        <w:t xml:space="preserve"> </w:t>
      </w:r>
      <w:proofErr w:type="spellStart"/>
      <w:r w:rsidRPr="005D6FDE">
        <w:rPr>
          <w:rFonts w:ascii="AvantGarde Bk BT Book" w:hAnsi="AvantGarde Bk BT Book" w:cs="Arial"/>
          <w:bCs/>
          <w:color w:val="000000" w:themeColor="text1"/>
          <w:sz w:val="16"/>
          <w:szCs w:val="22"/>
          <w:lang w:val="es-ES_tradnl" w:eastAsia="es-ES"/>
        </w:rPr>
        <w:t>Elaine</w:t>
      </w:r>
      <w:proofErr w:type="spellEnd"/>
      <w:r w:rsidRPr="005D6FDE">
        <w:rPr>
          <w:rFonts w:ascii="AvantGarde Bk BT Book" w:hAnsi="AvantGarde Bk BT Book" w:cs="Arial"/>
          <w:bCs/>
          <w:color w:val="000000" w:themeColor="text1"/>
          <w:sz w:val="16"/>
          <w:szCs w:val="22"/>
          <w:lang w:val="es-ES_tradnl" w:eastAsia="es-ES"/>
        </w:rPr>
        <w:t xml:space="preserve"> M. A. and </w:t>
      </w:r>
      <w:proofErr w:type="spellStart"/>
      <w:r w:rsidRPr="005D6FDE">
        <w:rPr>
          <w:rFonts w:ascii="AvantGarde Bk BT Book" w:hAnsi="AvantGarde Bk BT Book" w:cs="Arial"/>
          <w:bCs/>
          <w:color w:val="000000" w:themeColor="text1"/>
          <w:sz w:val="16"/>
          <w:szCs w:val="22"/>
          <w:lang w:val="es-ES_tradnl" w:eastAsia="es-ES"/>
        </w:rPr>
        <w:t>Kallie</w:t>
      </w:r>
      <w:proofErr w:type="spellEnd"/>
      <w:r w:rsidRPr="005D6FDE">
        <w:rPr>
          <w:rFonts w:ascii="AvantGarde Bk BT Book" w:hAnsi="AvantGarde Bk BT Book" w:cs="Arial"/>
          <w:bCs/>
          <w:color w:val="000000" w:themeColor="text1"/>
          <w:sz w:val="16"/>
          <w:szCs w:val="22"/>
          <w:lang w:val="es-ES_tradnl" w:eastAsia="es-ES"/>
        </w:rPr>
        <w:t xml:space="preserve"> C. (2019). Are </w:t>
      </w:r>
      <w:proofErr w:type="spellStart"/>
      <w:r w:rsidRPr="005D6FDE">
        <w:rPr>
          <w:rFonts w:ascii="AvantGarde Bk BT Book" w:hAnsi="AvantGarde Bk BT Book" w:cs="Arial"/>
          <w:bCs/>
          <w:color w:val="000000" w:themeColor="text1"/>
          <w:sz w:val="16"/>
          <w:szCs w:val="22"/>
          <w:lang w:val="es-ES_tradnl" w:eastAsia="es-ES"/>
        </w:rPr>
        <w:t>GPAs</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an</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Inconsistent</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Measure</w:t>
      </w:r>
      <w:proofErr w:type="spellEnd"/>
      <w:r w:rsidRPr="005D6FDE">
        <w:rPr>
          <w:rFonts w:ascii="AvantGarde Bk BT Book" w:hAnsi="AvantGarde Bk BT Book" w:cs="Arial"/>
          <w:bCs/>
          <w:color w:val="000000" w:themeColor="text1"/>
          <w:sz w:val="16"/>
          <w:szCs w:val="22"/>
          <w:lang w:val="es-ES_tradnl" w:eastAsia="es-ES"/>
        </w:rPr>
        <w:t xml:space="preserve"> of </w:t>
      </w:r>
      <w:proofErr w:type="spellStart"/>
      <w:r w:rsidRPr="005D6FDE">
        <w:rPr>
          <w:rFonts w:ascii="AvantGarde Bk BT Book" w:hAnsi="AvantGarde Bk BT Book" w:cs="Arial"/>
          <w:bCs/>
          <w:color w:val="000000" w:themeColor="text1"/>
          <w:sz w:val="16"/>
          <w:szCs w:val="22"/>
          <w:lang w:val="es-ES_tradnl" w:eastAsia="es-ES"/>
        </w:rPr>
        <w:t>College</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Readiness</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across</w:t>
      </w:r>
      <w:proofErr w:type="spellEnd"/>
      <w:r w:rsidRPr="005D6FDE">
        <w:rPr>
          <w:rFonts w:ascii="AvantGarde Bk BT Book" w:hAnsi="AvantGarde Bk BT Book" w:cs="Arial"/>
          <w:bCs/>
          <w:color w:val="000000" w:themeColor="text1"/>
          <w:sz w:val="16"/>
          <w:szCs w:val="22"/>
          <w:lang w:val="es-ES_tradnl" w:eastAsia="es-ES"/>
        </w:rPr>
        <w:t xml:space="preserve"> High </w:t>
      </w:r>
      <w:proofErr w:type="spellStart"/>
      <w:r w:rsidRPr="005D6FDE">
        <w:rPr>
          <w:rFonts w:ascii="AvantGarde Bk BT Book" w:hAnsi="AvantGarde Bk BT Book" w:cs="Arial"/>
          <w:bCs/>
          <w:color w:val="000000" w:themeColor="text1"/>
          <w:sz w:val="16"/>
          <w:szCs w:val="22"/>
          <w:lang w:val="es-ES_tradnl" w:eastAsia="es-ES"/>
        </w:rPr>
        <w:t>Schools</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Examining</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Assumptions</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about</w:t>
      </w:r>
      <w:proofErr w:type="spellEnd"/>
      <w:r w:rsidRPr="005D6FDE">
        <w:rPr>
          <w:rFonts w:ascii="AvantGarde Bk BT Book" w:hAnsi="AvantGarde Bk BT Book" w:cs="Arial"/>
          <w:bCs/>
          <w:color w:val="000000" w:themeColor="text1"/>
          <w:sz w:val="16"/>
          <w:szCs w:val="22"/>
          <w:lang w:val="es-ES_tradnl" w:eastAsia="es-ES"/>
        </w:rPr>
        <w:t xml:space="preserve"> Grades versus </w:t>
      </w:r>
      <w:proofErr w:type="spellStart"/>
      <w:r w:rsidRPr="005D6FDE">
        <w:rPr>
          <w:rFonts w:ascii="AvantGarde Bk BT Book" w:hAnsi="AvantGarde Bk BT Book" w:cs="Arial"/>
          <w:bCs/>
          <w:color w:val="000000" w:themeColor="text1"/>
          <w:sz w:val="16"/>
          <w:szCs w:val="22"/>
          <w:lang w:val="es-ES_tradnl" w:eastAsia="es-ES"/>
        </w:rPr>
        <w:t>Standardized</w:t>
      </w:r>
      <w:proofErr w:type="spellEnd"/>
      <w:r w:rsidRPr="005D6FDE">
        <w:rPr>
          <w:rFonts w:ascii="AvantGarde Bk BT Book" w:hAnsi="AvantGarde Bk BT Book" w:cs="Arial"/>
          <w:bCs/>
          <w:color w:val="000000" w:themeColor="text1"/>
          <w:sz w:val="16"/>
          <w:szCs w:val="22"/>
          <w:lang w:val="es-ES_tradnl" w:eastAsia="es-ES"/>
        </w:rPr>
        <w:t xml:space="preserve"> Test Scores. </w:t>
      </w:r>
      <w:proofErr w:type="spellStart"/>
      <w:r w:rsidRPr="005D6FDE">
        <w:rPr>
          <w:rFonts w:ascii="AvantGarde Bk BT Book" w:hAnsi="AvantGarde Bk BT Book" w:cs="Arial"/>
          <w:bCs/>
          <w:color w:val="000000" w:themeColor="text1"/>
          <w:sz w:val="16"/>
          <w:szCs w:val="22"/>
          <w:lang w:val="es-ES_tradnl" w:eastAsia="es-ES"/>
        </w:rPr>
        <w:t>University</w:t>
      </w:r>
      <w:proofErr w:type="spellEnd"/>
      <w:r w:rsidRPr="005D6FDE">
        <w:rPr>
          <w:rFonts w:ascii="AvantGarde Bk BT Book" w:hAnsi="AvantGarde Bk BT Book" w:cs="Arial"/>
          <w:bCs/>
          <w:color w:val="000000" w:themeColor="text1"/>
          <w:sz w:val="16"/>
          <w:szCs w:val="22"/>
          <w:lang w:val="es-ES_tradnl" w:eastAsia="es-ES"/>
        </w:rPr>
        <w:t xml:space="preserve"> of Chicago </w:t>
      </w:r>
      <w:proofErr w:type="spellStart"/>
      <w:r w:rsidRPr="005D6FDE">
        <w:rPr>
          <w:rFonts w:ascii="AvantGarde Bk BT Book" w:hAnsi="AvantGarde Bk BT Book" w:cs="Arial"/>
          <w:bCs/>
          <w:color w:val="000000" w:themeColor="text1"/>
          <w:sz w:val="16"/>
          <w:szCs w:val="22"/>
          <w:lang w:val="es-ES_tradnl" w:eastAsia="es-ES"/>
        </w:rPr>
        <w:t>Consortium</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on</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School</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Research</w:t>
      </w:r>
      <w:proofErr w:type="spellEnd"/>
      <w:r w:rsidRPr="005D6FDE">
        <w:rPr>
          <w:rFonts w:ascii="AvantGarde Bk BT Book" w:hAnsi="AvantGarde Bk BT Book" w:cs="Arial"/>
          <w:bCs/>
          <w:color w:val="000000" w:themeColor="text1"/>
          <w:sz w:val="16"/>
          <w:szCs w:val="22"/>
          <w:lang w:val="es-ES_tradnl" w:eastAsia="es-ES"/>
        </w:rPr>
        <w:t xml:space="preserve">. en https://consortium.uchicago.edu/sites/default/files/2019-; </w:t>
      </w:r>
      <w:proofErr w:type="spellStart"/>
      <w:r w:rsidRPr="005D6FDE">
        <w:rPr>
          <w:rFonts w:ascii="AvantGarde Bk BT Book" w:hAnsi="AvantGarde Bk BT Book" w:cs="Arial"/>
          <w:bCs/>
          <w:color w:val="000000" w:themeColor="text1"/>
          <w:sz w:val="16"/>
          <w:szCs w:val="22"/>
          <w:lang w:val="es-ES_tradnl" w:eastAsia="es-ES"/>
        </w:rPr>
        <w:t>Starr</w:t>
      </w:r>
      <w:proofErr w:type="spellEnd"/>
      <w:r w:rsidRPr="005D6FDE">
        <w:rPr>
          <w:rFonts w:ascii="AvantGarde Bk BT Book" w:hAnsi="AvantGarde Bk BT Book" w:cs="Arial"/>
          <w:bCs/>
          <w:color w:val="000000" w:themeColor="text1"/>
          <w:sz w:val="16"/>
          <w:szCs w:val="22"/>
          <w:lang w:val="es-ES_tradnl" w:eastAsia="es-ES"/>
        </w:rPr>
        <w:t xml:space="preserve">, J. (2021) </w:t>
      </w:r>
      <w:proofErr w:type="spellStart"/>
      <w:r w:rsidRPr="005D6FDE">
        <w:rPr>
          <w:rFonts w:ascii="AvantGarde Bk BT Book" w:hAnsi="AvantGarde Bk BT Book" w:cs="Arial"/>
          <w:bCs/>
          <w:color w:val="000000" w:themeColor="text1"/>
          <w:sz w:val="16"/>
          <w:szCs w:val="22"/>
          <w:lang w:val="es-ES_tradnl" w:eastAsia="es-ES"/>
        </w:rPr>
        <w:t>Pandemic</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offers</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opportunity</w:t>
      </w:r>
      <w:proofErr w:type="spellEnd"/>
      <w:r w:rsidRPr="005D6FDE">
        <w:rPr>
          <w:rFonts w:ascii="AvantGarde Bk BT Book" w:hAnsi="AvantGarde Bk BT Book" w:cs="Arial"/>
          <w:bCs/>
          <w:color w:val="000000" w:themeColor="text1"/>
          <w:sz w:val="16"/>
          <w:szCs w:val="22"/>
          <w:lang w:val="es-ES_tradnl" w:eastAsia="es-ES"/>
        </w:rPr>
        <w:t xml:space="preserve"> to reduce </w:t>
      </w:r>
      <w:proofErr w:type="spellStart"/>
      <w:r w:rsidRPr="005D6FDE">
        <w:rPr>
          <w:rFonts w:ascii="AvantGarde Bk BT Book" w:hAnsi="AvantGarde Bk BT Book" w:cs="Arial"/>
          <w:bCs/>
          <w:color w:val="000000" w:themeColor="text1"/>
          <w:sz w:val="16"/>
          <w:szCs w:val="22"/>
          <w:lang w:val="es-ES_tradnl" w:eastAsia="es-ES"/>
        </w:rPr>
        <w:t>standardized</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testing</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Education</w:t>
      </w:r>
      <w:proofErr w:type="spellEnd"/>
      <w:r w:rsidRPr="005D6FDE">
        <w:rPr>
          <w:rFonts w:ascii="AvantGarde Bk BT Book" w:hAnsi="AvantGarde Bk BT Book" w:cs="Arial"/>
          <w:bCs/>
          <w:color w:val="000000" w:themeColor="text1"/>
          <w:sz w:val="16"/>
          <w:szCs w:val="22"/>
          <w:lang w:val="es-ES_tradnl" w:eastAsia="es-ES"/>
        </w:rPr>
        <w:t xml:space="preserve"> </w:t>
      </w:r>
      <w:proofErr w:type="spellStart"/>
      <w:r w:rsidRPr="005D6FDE">
        <w:rPr>
          <w:rFonts w:ascii="AvantGarde Bk BT Book" w:hAnsi="AvantGarde Bk BT Book" w:cs="Arial"/>
          <w:bCs/>
          <w:color w:val="000000" w:themeColor="text1"/>
          <w:sz w:val="16"/>
          <w:szCs w:val="22"/>
          <w:lang w:val="es-ES_tradnl" w:eastAsia="es-ES"/>
        </w:rPr>
        <w:t>Next</w:t>
      </w:r>
      <w:proofErr w:type="spellEnd"/>
      <w:r w:rsidRPr="005D6FDE">
        <w:rPr>
          <w:rFonts w:ascii="AvantGarde Bk BT Book" w:hAnsi="AvantGarde Bk BT Book" w:cs="Arial"/>
          <w:bCs/>
          <w:color w:val="000000" w:themeColor="text1"/>
          <w:sz w:val="16"/>
          <w:szCs w:val="22"/>
          <w:lang w:val="es-ES_tradnl" w:eastAsia="es-ES"/>
        </w:rPr>
        <w:t>. 01/Are%20GPAs%20an%20Inconsistent%20Measure-Jan2019-Consortium.pdf</w:t>
      </w:r>
    </w:p>
  </w:footnote>
  <w:footnote w:id="14">
    <w:p w:rsidR="00AF3062" w:rsidRPr="00A91A5C" w:rsidRDefault="00AF3062" w:rsidP="00AF3062">
      <w:pPr>
        <w:pStyle w:val="Textonotapie"/>
        <w:jc w:val="both"/>
        <w:rPr>
          <w:color w:val="0000FF"/>
          <w:lang w:val="es-ES_tradnl"/>
        </w:rPr>
      </w:pPr>
      <w:r w:rsidRPr="005D6FDE">
        <w:rPr>
          <w:rStyle w:val="Refdenotaalpie"/>
          <w:color w:val="000000" w:themeColor="text1"/>
          <w:szCs w:val="16"/>
        </w:rPr>
        <w:footnoteRef/>
      </w:r>
      <w:r w:rsidRPr="005D6FDE">
        <w:rPr>
          <w:rStyle w:val="Refdenotaalpie"/>
          <w:color w:val="000000" w:themeColor="text1"/>
          <w:szCs w:val="16"/>
        </w:rPr>
        <w:t xml:space="preserve"> </w:t>
      </w:r>
      <w:r w:rsidRPr="005D6FDE">
        <w:rPr>
          <w:rFonts w:ascii="AvantGarde Bk BT Book" w:hAnsi="AvantGarde Bk BT Book" w:cs="Arial"/>
          <w:bCs/>
          <w:color w:val="000000" w:themeColor="text1"/>
          <w:sz w:val="16"/>
          <w:szCs w:val="22"/>
          <w:lang w:val="es-ES_tradnl"/>
        </w:rPr>
        <w:t xml:space="preserve">Perry, A. (2019). </w:t>
      </w:r>
      <w:proofErr w:type="spellStart"/>
      <w:r w:rsidRPr="005D6FDE">
        <w:rPr>
          <w:rFonts w:ascii="AvantGarde Bk BT Book" w:hAnsi="AvantGarde Bk BT Book" w:cs="Arial"/>
          <w:bCs/>
          <w:color w:val="000000" w:themeColor="text1"/>
          <w:sz w:val="16"/>
          <w:szCs w:val="22"/>
          <w:lang w:val="es-ES_tradnl"/>
        </w:rPr>
        <w:t>Students</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need</w:t>
      </w:r>
      <w:proofErr w:type="spellEnd"/>
      <w:r w:rsidRPr="005D6FDE">
        <w:rPr>
          <w:rFonts w:ascii="AvantGarde Bk BT Book" w:hAnsi="AvantGarde Bk BT Book" w:cs="Arial"/>
          <w:bCs/>
          <w:color w:val="000000" w:themeColor="text1"/>
          <w:sz w:val="16"/>
          <w:szCs w:val="22"/>
          <w:lang w:val="es-ES_tradnl"/>
        </w:rPr>
        <w:t xml:space="preserve"> a </w:t>
      </w:r>
      <w:proofErr w:type="spellStart"/>
      <w:r w:rsidRPr="005D6FDE">
        <w:rPr>
          <w:rFonts w:ascii="AvantGarde Bk BT Book" w:hAnsi="AvantGarde Bk BT Book" w:cs="Arial"/>
          <w:bCs/>
          <w:color w:val="000000" w:themeColor="text1"/>
          <w:sz w:val="16"/>
          <w:szCs w:val="22"/>
          <w:lang w:val="es-ES_tradnl"/>
        </w:rPr>
        <w:t>boost</w:t>
      </w:r>
      <w:proofErr w:type="spellEnd"/>
      <w:r w:rsidRPr="005D6FDE">
        <w:rPr>
          <w:rFonts w:ascii="AvantGarde Bk BT Book" w:hAnsi="AvantGarde Bk BT Book" w:cs="Arial"/>
          <w:bCs/>
          <w:color w:val="000000" w:themeColor="text1"/>
          <w:sz w:val="16"/>
          <w:szCs w:val="22"/>
          <w:lang w:val="es-ES_tradnl"/>
        </w:rPr>
        <w:t xml:space="preserve"> in </w:t>
      </w:r>
      <w:proofErr w:type="spellStart"/>
      <w:r w:rsidRPr="005D6FDE">
        <w:rPr>
          <w:rFonts w:ascii="AvantGarde Bk BT Book" w:hAnsi="AvantGarde Bk BT Book" w:cs="Arial"/>
          <w:bCs/>
          <w:color w:val="000000" w:themeColor="text1"/>
          <w:sz w:val="16"/>
          <w:szCs w:val="22"/>
          <w:lang w:val="es-ES_tradnl"/>
        </w:rPr>
        <w:t>wealth</w:t>
      </w:r>
      <w:proofErr w:type="spellEnd"/>
      <w:r w:rsidRPr="005D6FDE">
        <w:rPr>
          <w:rFonts w:ascii="AvantGarde Bk BT Book" w:hAnsi="AvantGarde Bk BT Book" w:cs="Arial"/>
          <w:bCs/>
          <w:color w:val="000000" w:themeColor="text1"/>
          <w:sz w:val="16"/>
          <w:szCs w:val="22"/>
          <w:lang w:val="es-ES_tradnl"/>
        </w:rPr>
        <w:t xml:space="preserve"> more </w:t>
      </w:r>
      <w:proofErr w:type="spellStart"/>
      <w:r w:rsidRPr="005D6FDE">
        <w:rPr>
          <w:rFonts w:ascii="AvantGarde Bk BT Book" w:hAnsi="AvantGarde Bk BT Book" w:cs="Arial"/>
          <w:bCs/>
          <w:color w:val="000000" w:themeColor="text1"/>
          <w:sz w:val="16"/>
          <w:szCs w:val="22"/>
          <w:lang w:val="es-ES_tradnl"/>
        </w:rPr>
        <w:t>than</w:t>
      </w:r>
      <w:proofErr w:type="spellEnd"/>
      <w:r w:rsidRPr="005D6FDE">
        <w:rPr>
          <w:rFonts w:ascii="AvantGarde Bk BT Book" w:hAnsi="AvantGarde Bk BT Book" w:cs="Arial"/>
          <w:bCs/>
          <w:color w:val="000000" w:themeColor="text1"/>
          <w:sz w:val="16"/>
          <w:szCs w:val="22"/>
          <w:lang w:val="es-ES_tradnl"/>
        </w:rPr>
        <w:t xml:space="preserve"> a </w:t>
      </w:r>
      <w:proofErr w:type="spellStart"/>
      <w:r w:rsidRPr="005D6FDE">
        <w:rPr>
          <w:rFonts w:ascii="AvantGarde Bk BT Book" w:hAnsi="AvantGarde Bk BT Book" w:cs="Arial"/>
          <w:bCs/>
          <w:color w:val="000000" w:themeColor="text1"/>
          <w:sz w:val="16"/>
          <w:szCs w:val="22"/>
          <w:lang w:val="es-ES_tradnl"/>
        </w:rPr>
        <w:t>boost</w:t>
      </w:r>
      <w:proofErr w:type="spellEnd"/>
      <w:r w:rsidRPr="005D6FDE">
        <w:rPr>
          <w:rFonts w:ascii="AvantGarde Bk BT Book" w:hAnsi="AvantGarde Bk BT Book" w:cs="Arial"/>
          <w:bCs/>
          <w:color w:val="000000" w:themeColor="text1"/>
          <w:sz w:val="16"/>
          <w:szCs w:val="22"/>
          <w:lang w:val="es-ES_tradnl"/>
        </w:rPr>
        <w:t xml:space="preserve"> in </w:t>
      </w:r>
      <w:proofErr w:type="spellStart"/>
      <w:r w:rsidRPr="005D6FDE">
        <w:rPr>
          <w:rFonts w:ascii="AvantGarde Bk BT Book" w:hAnsi="AvantGarde Bk BT Book" w:cs="Arial"/>
          <w:bCs/>
          <w:color w:val="000000" w:themeColor="text1"/>
          <w:sz w:val="16"/>
          <w:szCs w:val="22"/>
          <w:lang w:val="es-ES_tradnl"/>
        </w:rPr>
        <w:t>SAT</w:t>
      </w:r>
      <w:proofErr w:type="spellEnd"/>
      <w:r w:rsidRPr="005D6FDE">
        <w:rPr>
          <w:rFonts w:ascii="AvantGarde Bk BT Book" w:hAnsi="AvantGarde Bk BT Book" w:cs="Arial"/>
          <w:bCs/>
          <w:color w:val="000000" w:themeColor="text1"/>
          <w:sz w:val="16"/>
          <w:szCs w:val="22"/>
          <w:lang w:val="es-ES_tradnl"/>
        </w:rPr>
        <w:t xml:space="preserve"> scores. </w:t>
      </w:r>
      <w:proofErr w:type="spellStart"/>
      <w:r w:rsidRPr="005D6FDE">
        <w:rPr>
          <w:rFonts w:ascii="AvantGarde Bk BT Book" w:hAnsi="AvantGarde Bk BT Book" w:cs="Arial"/>
          <w:bCs/>
          <w:color w:val="000000" w:themeColor="text1"/>
          <w:sz w:val="16"/>
          <w:szCs w:val="22"/>
          <w:lang w:val="es-ES_tradnl"/>
        </w:rPr>
        <w:t>The</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Hechinger</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Report</w:t>
      </w:r>
      <w:proofErr w:type="spellEnd"/>
      <w:r w:rsidRPr="005D6FDE">
        <w:rPr>
          <w:rFonts w:ascii="AvantGarde Bk BT Book" w:hAnsi="AvantGarde Bk BT Book" w:cs="Arial"/>
          <w:bCs/>
          <w:color w:val="000000" w:themeColor="text1"/>
          <w:sz w:val="16"/>
          <w:szCs w:val="22"/>
          <w:lang w:val="es-ES_tradnl"/>
        </w:rPr>
        <w:t xml:space="preserve">. </w:t>
      </w:r>
      <w:hyperlink r:id="rId1" w:history="1">
        <w:r w:rsidRPr="005D6FDE">
          <w:rPr>
            <w:rFonts w:ascii="AvantGarde Bk BT Book" w:hAnsi="AvantGarde Bk BT Book" w:cs="Arial"/>
            <w:bCs/>
            <w:color w:val="000000" w:themeColor="text1"/>
            <w:sz w:val="16"/>
            <w:szCs w:val="22"/>
            <w:lang w:val="es-ES_tradnl"/>
          </w:rPr>
          <w:t>https://hechingerreport.org/students-need-a-boost-in-wealth-more-than-a-boost-in-sat-scores/</w:t>
        </w:r>
      </w:hyperlink>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Sandel</w:t>
      </w:r>
      <w:proofErr w:type="spellEnd"/>
      <w:r w:rsidRPr="005D6FDE">
        <w:rPr>
          <w:rFonts w:ascii="AvantGarde Bk BT Book" w:hAnsi="AvantGarde Bk BT Book" w:cs="Arial"/>
          <w:bCs/>
          <w:color w:val="000000" w:themeColor="text1"/>
          <w:sz w:val="16"/>
          <w:szCs w:val="22"/>
          <w:lang w:val="es-ES_tradnl"/>
        </w:rPr>
        <w:t xml:space="preserve">, M. (2020). </w:t>
      </w:r>
      <w:proofErr w:type="spellStart"/>
      <w:r w:rsidRPr="005D6FDE">
        <w:rPr>
          <w:rFonts w:ascii="AvantGarde Bk BT Book" w:hAnsi="AvantGarde Bk BT Book" w:cs="Arial"/>
          <w:bCs/>
          <w:color w:val="000000" w:themeColor="text1"/>
          <w:sz w:val="16"/>
          <w:szCs w:val="22"/>
          <w:lang w:val="es-ES_tradnl"/>
        </w:rPr>
        <w:t>The</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Tyranny</w:t>
      </w:r>
      <w:proofErr w:type="spellEnd"/>
      <w:r w:rsidRPr="005D6FDE">
        <w:rPr>
          <w:rFonts w:ascii="AvantGarde Bk BT Book" w:hAnsi="AvantGarde Bk BT Book" w:cs="Arial"/>
          <w:bCs/>
          <w:color w:val="000000" w:themeColor="text1"/>
          <w:sz w:val="16"/>
          <w:szCs w:val="22"/>
          <w:lang w:val="es-ES_tradnl"/>
        </w:rPr>
        <w:t xml:space="preserve"> of </w:t>
      </w:r>
      <w:proofErr w:type="spellStart"/>
      <w:r w:rsidRPr="005D6FDE">
        <w:rPr>
          <w:rFonts w:ascii="AvantGarde Bk BT Book" w:hAnsi="AvantGarde Bk BT Book" w:cs="Arial"/>
          <w:bCs/>
          <w:color w:val="000000" w:themeColor="text1"/>
          <w:sz w:val="16"/>
          <w:szCs w:val="22"/>
          <w:lang w:val="es-ES_tradnl"/>
        </w:rPr>
        <w:t>Merit</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What's</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Become</w:t>
      </w:r>
      <w:proofErr w:type="spellEnd"/>
      <w:r w:rsidRPr="005D6FDE">
        <w:rPr>
          <w:rFonts w:ascii="AvantGarde Bk BT Book" w:hAnsi="AvantGarde Bk BT Book" w:cs="Arial"/>
          <w:bCs/>
          <w:color w:val="000000" w:themeColor="text1"/>
          <w:sz w:val="16"/>
          <w:szCs w:val="22"/>
          <w:lang w:val="es-ES_tradnl"/>
        </w:rPr>
        <w:t xml:space="preserve"> of </w:t>
      </w:r>
      <w:proofErr w:type="spellStart"/>
      <w:r w:rsidRPr="005D6FDE">
        <w:rPr>
          <w:rFonts w:ascii="AvantGarde Bk BT Book" w:hAnsi="AvantGarde Bk BT Book" w:cs="Arial"/>
          <w:bCs/>
          <w:color w:val="000000" w:themeColor="text1"/>
          <w:sz w:val="16"/>
          <w:szCs w:val="22"/>
          <w:lang w:val="es-ES_tradnl"/>
        </w:rPr>
        <w:t>the</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Common</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Good</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Farrar</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Straus</w:t>
      </w:r>
      <w:proofErr w:type="spellEnd"/>
      <w:r w:rsidRPr="005D6FDE">
        <w:rPr>
          <w:rFonts w:ascii="AvantGarde Bk BT Book" w:hAnsi="AvantGarde Bk BT Book" w:cs="Arial"/>
          <w:bCs/>
          <w:color w:val="000000" w:themeColor="text1"/>
          <w:sz w:val="16"/>
          <w:szCs w:val="22"/>
          <w:lang w:val="es-ES_tradnl"/>
        </w:rPr>
        <w:t xml:space="preserve"> and </w:t>
      </w:r>
      <w:proofErr w:type="spellStart"/>
      <w:r w:rsidRPr="005D6FDE">
        <w:rPr>
          <w:rFonts w:ascii="AvantGarde Bk BT Book" w:hAnsi="AvantGarde Bk BT Book" w:cs="Arial"/>
          <w:bCs/>
          <w:color w:val="000000" w:themeColor="text1"/>
          <w:sz w:val="16"/>
          <w:szCs w:val="22"/>
          <w:lang w:val="es-ES_tradnl"/>
        </w:rPr>
        <w:t>Giroux</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NY</w:t>
      </w:r>
      <w:proofErr w:type="spellEnd"/>
      <w:r w:rsidRPr="005D6FDE">
        <w:rPr>
          <w:rFonts w:ascii="AvantGarde Bk BT Book" w:hAnsi="AvantGarde Bk BT Book" w:cs="Arial"/>
          <w:bCs/>
          <w:color w:val="000000" w:themeColor="text1"/>
          <w:sz w:val="16"/>
          <w:szCs w:val="22"/>
          <w:lang w:val="es-ES_tradnl"/>
        </w:rPr>
        <w:t xml:space="preserve">. USA.; </w:t>
      </w:r>
      <w:proofErr w:type="spellStart"/>
      <w:r w:rsidRPr="005D6FDE">
        <w:rPr>
          <w:rFonts w:ascii="AvantGarde Bk BT Book" w:hAnsi="AvantGarde Bk BT Book" w:cs="Arial"/>
          <w:bCs/>
          <w:color w:val="000000" w:themeColor="text1"/>
          <w:sz w:val="16"/>
          <w:szCs w:val="22"/>
          <w:lang w:val="es-ES_tradnl"/>
        </w:rPr>
        <w:t>Buckley</w:t>
      </w:r>
      <w:proofErr w:type="spellEnd"/>
      <w:r w:rsidRPr="005D6FDE">
        <w:rPr>
          <w:rFonts w:ascii="AvantGarde Bk BT Book" w:hAnsi="AvantGarde Bk BT Book" w:cs="Arial"/>
          <w:bCs/>
          <w:color w:val="000000" w:themeColor="text1"/>
          <w:sz w:val="16"/>
          <w:szCs w:val="22"/>
          <w:lang w:val="es-ES_tradnl"/>
        </w:rPr>
        <w:t xml:space="preserve">, J., </w:t>
      </w:r>
      <w:proofErr w:type="spellStart"/>
      <w:r w:rsidRPr="005D6FDE">
        <w:rPr>
          <w:rFonts w:ascii="AvantGarde Bk BT Book" w:hAnsi="AvantGarde Bk BT Book" w:cs="Arial"/>
          <w:bCs/>
          <w:color w:val="000000" w:themeColor="text1"/>
          <w:sz w:val="16"/>
          <w:szCs w:val="22"/>
          <w:lang w:val="es-ES_tradnl"/>
        </w:rPr>
        <w:t>Letukas</w:t>
      </w:r>
      <w:proofErr w:type="spellEnd"/>
      <w:r w:rsidRPr="005D6FDE">
        <w:rPr>
          <w:rFonts w:ascii="AvantGarde Bk BT Book" w:hAnsi="AvantGarde Bk BT Book" w:cs="Arial"/>
          <w:bCs/>
          <w:color w:val="000000" w:themeColor="text1"/>
          <w:sz w:val="16"/>
          <w:szCs w:val="22"/>
          <w:lang w:val="es-ES_tradnl"/>
        </w:rPr>
        <w:t xml:space="preserve">, L., &amp; </w:t>
      </w:r>
      <w:proofErr w:type="spellStart"/>
      <w:r w:rsidRPr="005D6FDE">
        <w:rPr>
          <w:rFonts w:ascii="AvantGarde Bk BT Book" w:hAnsi="AvantGarde Bk BT Book" w:cs="Arial"/>
          <w:bCs/>
          <w:color w:val="000000" w:themeColor="text1"/>
          <w:sz w:val="16"/>
          <w:szCs w:val="22"/>
          <w:lang w:val="es-ES_tradnl"/>
        </w:rPr>
        <w:t>Wildavsky</w:t>
      </w:r>
      <w:proofErr w:type="spellEnd"/>
      <w:r w:rsidRPr="005D6FDE">
        <w:rPr>
          <w:rFonts w:ascii="AvantGarde Bk BT Book" w:hAnsi="AvantGarde Bk BT Book" w:cs="Arial"/>
          <w:bCs/>
          <w:color w:val="000000" w:themeColor="text1"/>
          <w:sz w:val="16"/>
          <w:szCs w:val="22"/>
          <w:lang w:val="es-ES_tradnl"/>
        </w:rPr>
        <w:t xml:space="preserve">, D. (2018). </w:t>
      </w:r>
      <w:proofErr w:type="spellStart"/>
      <w:r w:rsidRPr="005D6FDE">
        <w:rPr>
          <w:rFonts w:ascii="AvantGarde Bk BT Book" w:hAnsi="AvantGarde Bk BT Book" w:cs="Arial"/>
          <w:bCs/>
          <w:color w:val="000000" w:themeColor="text1"/>
          <w:sz w:val="16"/>
          <w:szCs w:val="22"/>
          <w:lang w:val="es-ES_tradnl"/>
        </w:rPr>
        <w:t>Measuring</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Success</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Testing</w:t>
      </w:r>
      <w:proofErr w:type="spellEnd"/>
      <w:r w:rsidRPr="005D6FDE">
        <w:rPr>
          <w:rFonts w:ascii="AvantGarde Bk BT Book" w:hAnsi="AvantGarde Bk BT Book" w:cs="Arial"/>
          <w:bCs/>
          <w:color w:val="000000" w:themeColor="text1"/>
          <w:sz w:val="16"/>
          <w:szCs w:val="22"/>
          <w:lang w:val="es-ES_tradnl"/>
        </w:rPr>
        <w:t xml:space="preserve">, Grades, And </w:t>
      </w:r>
      <w:proofErr w:type="spellStart"/>
      <w:r w:rsidRPr="005D6FDE">
        <w:rPr>
          <w:rFonts w:ascii="AvantGarde Bk BT Book" w:hAnsi="AvantGarde Bk BT Book" w:cs="Arial"/>
          <w:bCs/>
          <w:color w:val="000000" w:themeColor="text1"/>
          <w:sz w:val="16"/>
          <w:szCs w:val="22"/>
          <w:lang w:val="es-ES_tradnl"/>
        </w:rPr>
        <w:t>The</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Future</w:t>
      </w:r>
      <w:proofErr w:type="spellEnd"/>
      <w:r w:rsidRPr="005D6FDE">
        <w:rPr>
          <w:rFonts w:ascii="AvantGarde Bk BT Book" w:hAnsi="AvantGarde Bk BT Book" w:cs="Arial"/>
          <w:bCs/>
          <w:color w:val="000000" w:themeColor="text1"/>
          <w:sz w:val="16"/>
          <w:szCs w:val="22"/>
          <w:lang w:val="es-ES_tradnl"/>
        </w:rPr>
        <w:t xml:space="preserve"> of </w:t>
      </w:r>
      <w:proofErr w:type="spellStart"/>
      <w:r w:rsidRPr="005D6FDE">
        <w:rPr>
          <w:rFonts w:ascii="AvantGarde Bk BT Book" w:hAnsi="AvantGarde Bk BT Book" w:cs="Arial"/>
          <w:bCs/>
          <w:color w:val="000000" w:themeColor="text1"/>
          <w:sz w:val="16"/>
          <w:szCs w:val="22"/>
          <w:lang w:val="es-ES_tradnl"/>
        </w:rPr>
        <w:t>College</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Admissions</w:t>
      </w:r>
      <w:proofErr w:type="spellEnd"/>
      <w:r w:rsidRPr="005D6FDE">
        <w:rPr>
          <w:rFonts w:ascii="AvantGarde Bk BT Book" w:hAnsi="AvantGarde Bk BT Book" w:cs="Arial"/>
          <w:bCs/>
          <w:color w:val="000000" w:themeColor="text1"/>
          <w:sz w:val="16"/>
          <w:szCs w:val="22"/>
          <w:lang w:val="es-ES_tradnl"/>
        </w:rPr>
        <w:t xml:space="preserve">. Johns Hopkins </w:t>
      </w:r>
      <w:proofErr w:type="spellStart"/>
      <w:r w:rsidRPr="005D6FDE">
        <w:rPr>
          <w:rFonts w:ascii="AvantGarde Bk BT Book" w:hAnsi="AvantGarde Bk BT Book" w:cs="Arial"/>
          <w:bCs/>
          <w:color w:val="000000" w:themeColor="text1"/>
          <w:sz w:val="16"/>
          <w:szCs w:val="22"/>
          <w:lang w:val="es-ES_tradnl"/>
        </w:rPr>
        <w:t>University</w:t>
      </w:r>
      <w:proofErr w:type="spellEnd"/>
      <w:r w:rsidRPr="005D6FDE">
        <w:rPr>
          <w:rFonts w:ascii="AvantGarde Bk BT Book" w:hAnsi="AvantGarde Bk BT Book" w:cs="Arial"/>
          <w:bCs/>
          <w:color w:val="000000" w:themeColor="text1"/>
          <w:sz w:val="16"/>
          <w:szCs w:val="22"/>
          <w:lang w:val="es-ES_tradnl"/>
        </w:rPr>
        <w:t xml:space="preserve"> </w:t>
      </w:r>
      <w:proofErr w:type="spellStart"/>
      <w:r w:rsidRPr="005D6FDE">
        <w:rPr>
          <w:rFonts w:ascii="AvantGarde Bk BT Book" w:hAnsi="AvantGarde Bk BT Book" w:cs="Arial"/>
          <w:bCs/>
          <w:color w:val="000000" w:themeColor="text1"/>
          <w:sz w:val="16"/>
          <w:szCs w:val="22"/>
          <w:lang w:val="es-ES_tradnl"/>
        </w:rPr>
        <w:t>Press</w:t>
      </w:r>
      <w:proofErr w:type="spellEnd"/>
      <w:r w:rsidRPr="005D6FDE">
        <w:rPr>
          <w:rFonts w:ascii="AvantGarde Bk BT Book" w:hAnsi="AvantGarde Bk BT Book" w:cs="Arial"/>
          <w:bCs/>
          <w:color w:val="000000" w:themeColor="text1"/>
          <w:sz w:val="16"/>
          <w:szCs w:val="22"/>
          <w:lang w:val="es-ES_tradnl"/>
        </w:rPr>
        <w:t>. Baltimore.</w:t>
      </w:r>
    </w:p>
  </w:footnote>
  <w:footnote w:id="15">
    <w:p w:rsidR="00AF3062" w:rsidRPr="007916BE" w:rsidRDefault="00AF3062" w:rsidP="00AF3062">
      <w:pPr>
        <w:pStyle w:val="Textonotapie"/>
        <w:jc w:val="both"/>
        <w:rPr>
          <w:rFonts w:ascii="AvantGarde Bk BT Book" w:hAnsi="AvantGarde Bk BT Book"/>
        </w:rPr>
      </w:pPr>
      <w:r w:rsidRPr="007916BE">
        <w:rPr>
          <w:rStyle w:val="Refdenotaalpie"/>
          <w:rFonts w:ascii="AvantGarde Bk BT Book" w:hAnsi="AvantGarde Bk BT Book"/>
          <w:sz w:val="16"/>
          <w:szCs w:val="16"/>
        </w:rPr>
        <w:footnoteRef/>
      </w:r>
      <w:r w:rsidRPr="007916BE">
        <w:rPr>
          <w:rFonts w:ascii="AvantGarde Bk BT Book" w:hAnsi="AvantGarde Bk BT Book"/>
          <w:sz w:val="16"/>
          <w:szCs w:val="16"/>
        </w:rPr>
        <w:t xml:space="preserve"> </w:t>
      </w:r>
      <w:r w:rsidRPr="007916BE">
        <w:rPr>
          <w:rFonts w:ascii="AvantGarde Bk BT Book" w:hAnsi="AvantGarde Bk BT Book" w:cs="Arial"/>
          <w:bCs/>
          <w:sz w:val="16"/>
          <w:szCs w:val="22"/>
          <w:lang w:val="es-ES_tradnl"/>
        </w:rPr>
        <w:t xml:space="preserve">ONU, </w:t>
      </w:r>
      <w:proofErr w:type="spellStart"/>
      <w:r w:rsidRPr="007916BE">
        <w:rPr>
          <w:rFonts w:ascii="AvantGarde Bk BT Book" w:hAnsi="AvantGarde Bk BT Book" w:cs="Arial"/>
          <w:bCs/>
          <w:sz w:val="16"/>
          <w:szCs w:val="22"/>
          <w:lang w:val="es-ES_tradnl"/>
        </w:rPr>
        <w:t>COVID</w:t>
      </w:r>
      <w:proofErr w:type="spellEnd"/>
      <w:r w:rsidRPr="007916BE">
        <w:rPr>
          <w:rFonts w:ascii="AvantGarde Bk BT Book" w:hAnsi="AvantGarde Bk BT Book" w:cs="Arial"/>
          <w:bCs/>
          <w:sz w:val="16"/>
          <w:szCs w:val="22"/>
          <w:lang w:val="es-ES_tradnl"/>
        </w:rPr>
        <w:t>-19 y educación superior: Aprender a desaprender para crear una educación para el futuro, ONU, 2020, recuperado de https://www.un.org/es/impacto-acad%C3%A9mico/covid-19-y-educaci%C3%B3n-superior-aprender-desaprender-para-crear-una-educaci%C3%B3n-para</w:t>
      </w:r>
    </w:p>
  </w:footnote>
  <w:footnote w:id="16">
    <w:p w:rsidR="00AF3062" w:rsidRPr="00D33A30" w:rsidRDefault="00AF3062" w:rsidP="00AF3062">
      <w:pPr>
        <w:jc w:val="both"/>
        <w:rPr>
          <w:rFonts w:ascii="AvantGarde Bk BT Book" w:hAnsi="AvantGarde Bk BT Book"/>
          <w:i/>
          <w:sz w:val="20"/>
          <w:szCs w:val="20"/>
        </w:rPr>
      </w:pPr>
      <w:r w:rsidRPr="00FE21D8">
        <w:rPr>
          <w:rFonts w:ascii="AvantGarde Bk BT Book" w:hAnsi="AvantGarde Bk BT Book"/>
          <w:iCs/>
          <w:sz w:val="16"/>
          <w:szCs w:val="16"/>
          <w:vertAlign w:val="superscript"/>
        </w:rPr>
        <w:footnoteRef/>
      </w:r>
      <w:r w:rsidRPr="00D33A30">
        <w:rPr>
          <w:rFonts w:ascii="AvantGarde Bk BT Book" w:hAnsi="AvantGarde Bk BT Book"/>
          <w:iCs/>
          <w:sz w:val="22"/>
          <w:szCs w:val="22"/>
          <w:vertAlign w:val="superscript"/>
        </w:rPr>
        <w:t xml:space="preserve"> </w:t>
      </w:r>
      <w:r w:rsidRPr="00F23F4B">
        <w:rPr>
          <w:rFonts w:ascii="AvantGarde Bk BT Book" w:hAnsi="AvantGarde Bk BT Book" w:cs="Arial"/>
          <w:bCs/>
          <w:sz w:val="16"/>
          <w:szCs w:val="22"/>
          <w:lang w:val="es-ES_tradnl"/>
        </w:rPr>
        <w:t xml:space="preserve">Tesis: </w:t>
      </w:r>
      <w:proofErr w:type="spellStart"/>
      <w:r w:rsidRPr="00F23F4B">
        <w:rPr>
          <w:rFonts w:ascii="AvantGarde Bk BT Book" w:hAnsi="AvantGarde Bk BT Book" w:cs="Arial"/>
          <w:bCs/>
          <w:sz w:val="16"/>
          <w:szCs w:val="22"/>
          <w:lang w:val="es-ES_tradnl"/>
        </w:rPr>
        <w:t>1a</w:t>
      </w:r>
      <w:proofErr w:type="spellEnd"/>
      <w:r w:rsidRPr="00F23F4B">
        <w:rPr>
          <w:rFonts w:ascii="AvantGarde Bk BT Book" w:hAnsi="AvantGarde Bk BT Book" w:cs="Arial"/>
          <w:bCs/>
          <w:sz w:val="16"/>
          <w:szCs w:val="22"/>
          <w:lang w:val="es-ES_tradnl"/>
        </w:rPr>
        <w:t>.</w:t>
      </w:r>
      <w:r>
        <w:rPr>
          <w:rFonts w:ascii="AvantGarde Bk BT Book" w:hAnsi="AvantGarde Bk BT Book" w:cs="Arial"/>
          <w:bCs/>
          <w:sz w:val="16"/>
          <w:szCs w:val="22"/>
          <w:lang w:val="es-ES_tradnl"/>
        </w:rPr>
        <w:t xml:space="preserve"> XI</w:t>
      </w:r>
      <w:r w:rsidRPr="00F23F4B">
        <w:rPr>
          <w:rFonts w:ascii="AvantGarde Bk BT Book" w:hAnsi="AvantGarde Bk BT Book" w:cs="Arial"/>
          <w:bCs/>
          <w:sz w:val="16"/>
          <w:szCs w:val="22"/>
          <w:lang w:val="es-ES_tradnl"/>
        </w:rPr>
        <w:t>/20</w:t>
      </w:r>
      <w:r>
        <w:rPr>
          <w:rFonts w:ascii="AvantGarde Bk BT Book" w:hAnsi="AvantGarde Bk BT Book" w:cs="Arial"/>
          <w:bCs/>
          <w:sz w:val="16"/>
          <w:szCs w:val="22"/>
          <w:lang w:val="es-ES_tradnl"/>
        </w:rPr>
        <w:t>03</w:t>
      </w:r>
      <w:r w:rsidRPr="00F23F4B">
        <w:rPr>
          <w:rFonts w:ascii="AvantGarde Bk BT Book" w:hAnsi="AvantGarde Bk BT Book" w:cs="Arial"/>
          <w:bCs/>
          <w:sz w:val="16"/>
          <w:szCs w:val="22"/>
          <w:lang w:val="es-ES_tradnl"/>
        </w:rPr>
        <w:t xml:space="preserve">, Semanario Judicial de la Federación y su Gaceta, </w:t>
      </w:r>
      <w:r>
        <w:rPr>
          <w:rFonts w:ascii="AvantGarde Bk BT Book" w:hAnsi="AvantGarde Bk BT Book" w:cs="Arial"/>
          <w:bCs/>
          <w:sz w:val="16"/>
          <w:szCs w:val="22"/>
          <w:lang w:val="es-ES_tradnl"/>
        </w:rPr>
        <w:t>Novena</w:t>
      </w:r>
      <w:r w:rsidRPr="00F23F4B">
        <w:rPr>
          <w:rFonts w:ascii="AvantGarde Bk BT Book" w:hAnsi="AvantGarde Bk BT Book" w:cs="Arial"/>
          <w:bCs/>
          <w:sz w:val="16"/>
          <w:szCs w:val="22"/>
          <w:lang w:val="es-ES_tradnl"/>
        </w:rPr>
        <w:t xml:space="preserve"> Época, Primera Sala, Tomo </w:t>
      </w:r>
      <w:r>
        <w:rPr>
          <w:rFonts w:ascii="AvantGarde Bk BT Book" w:hAnsi="AvantGarde Bk BT Book" w:cs="Arial"/>
          <w:bCs/>
          <w:sz w:val="16"/>
          <w:szCs w:val="22"/>
          <w:lang w:val="es-ES_tradnl"/>
        </w:rPr>
        <w:t>XVII</w:t>
      </w:r>
      <w:r w:rsidRPr="00F23F4B">
        <w:rPr>
          <w:rFonts w:ascii="AvantGarde Bk BT Book" w:hAnsi="AvantGarde Bk BT Book" w:cs="Arial"/>
          <w:bCs/>
          <w:sz w:val="16"/>
          <w:szCs w:val="22"/>
          <w:lang w:val="es-ES_tradnl"/>
        </w:rPr>
        <w:t xml:space="preserve">, </w:t>
      </w:r>
      <w:r>
        <w:rPr>
          <w:rFonts w:ascii="AvantGarde Bk BT Book" w:hAnsi="AvantGarde Bk BT Book" w:cs="Arial"/>
          <w:bCs/>
          <w:sz w:val="16"/>
          <w:szCs w:val="22"/>
          <w:lang w:val="es-ES_tradnl"/>
        </w:rPr>
        <w:t>mayo</w:t>
      </w:r>
      <w:r w:rsidRPr="00F23F4B">
        <w:rPr>
          <w:rFonts w:ascii="AvantGarde Bk BT Book" w:hAnsi="AvantGarde Bk BT Book" w:cs="Arial"/>
          <w:bCs/>
          <w:sz w:val="16"/>
          <w:szCs w:val="22"/>
          <w:lang w:val="es-ES_tradnl"/>
        </w:rPr>
        <w:t xml:space="preserve"> de 20</w:t>
      </w:r>
      <w:r>
        <w:rPr>
          <w:rFonts w:ascii="AvantGarde Bk BT Book" w:hAnsi="AvantGarde Bk BT Book" w:cs="Arial"/>
          <w:bCs/>
          <w:sz w:val="16"/>
          <w:szCs w:val="22"/>
          <w:lang w:val="es-ES_tradnl"/>
        </w:rPr>
        <w:t>03</w:t>
      </w:r>
      <w:r w:rsidRPr="00F23F4B">
        <w:rPr>
          <w:rFonts w:ascii="AvantGarde Bk BT Book" w:hAnsi="AvantGarde Bk BT Book" w:cs="Arial"/>
          <w:bCs/>
          <w:sz w:val="16"/>
          <w:szCs w:val="22"/>
          <w:lang w:val="es-ES_tradnl"/>
        </w:rPr>
        <w:t xml:space="preserve">, p. </w:t>
      </w:r>
      <w:r>
        <w:rPr>
          <w:rFonts w:ascii="AvantGarde Bk BT Book" w:hAnsi="AvantGarde Bk BT Book" w:cs="Arial"/>
          <w:bCs/>
          <w:sz w:val="16"/>
          <w:szCs w:val="22"/>
          <w:lang w:val="es-ES_tradnl"/>
        </w:rPr>
        <w:t>239</w:t>
      </w:r>
      <w:r w:rsidRPr="00F23F4B">
        <w:rPr>
          <w:rFonts w:ascii="AvantGarde Bk BT Book" w:hAnsi="AvantGarde Bk BT Book" w:cs="Arial"/>
          <w:bCs/>
          <w:sz w:val="16"/>
          <w:szCs w:val="22"/>
          <w:lang w:val="es-ES_tradnl"/>
        </w:rPr>
        <w:t xml:space="preserve">, </w:t>
      </w:r>
      <w:r>
        <w:rPr>
          <w:rFonts w:ascii="AvantGarde Bk BT Book" w:hAnsi="AvantGarde Bk BT Book" w:cs="Arial"/>
          <w:bCs/>
          <w:sz w:val="16"/>
          <w:szCs w:val="22"/>
          <w:lang w:val="es-ES_tradnl"/>
        </w:rPr>
        <w:t>tesis aislada</w:t>
      </w:r>
      <w:r w:rsidRPr="00F23F4B">
        <w:rPr>
          <w:rFonts w:ascii="AvantGarde Bk BT Book" w:hAnsi="AvantGarde Bk BT Book" w:cs="Arial"/>
          <w:bCs/>
          <w:sz w:val="16"/>
          <w:szCs w:val="22"/>
          <w:lang w:val="es-ES_tradnl"/>
        </w:rPr>
        <w:t xml:space="preserve"> (</w:t>
      </w:r>
      <w:r>
        <w:rPr>
          <w:rFonts w:ascii="AvantGarde Bk BT Book" w:hAnsi="AvantGarde Bk BT Book" w:cs="Arial"/>
          <w:bCs/>
          <w:sz w:val="16"/>
          <w:szCs w:val="22"/>
          <w:lang w:val="es-ES_tradnl"/>
        </w:rPr>
        <w:t>administrativa</w:t>
      </w:r>
      <w:r w:rsidRPr="00F23F4B">
        <w:rPr>
          <w:rFonts w:ascii="AvantGarde Bk BT Book" w:hAnsi="AvantGarde Bk BT Book" w:cs="Arial"/>
          <w:bCs/>
          <w:sz w:val="16"/>
          <w:szCs w:val="22"/>
          <w:lang w:val="es-ES_tradnl"/>
        </w:rPr>
        <w:t xml:space="preserve">), número de registro: </w:t>
      </w:r>
      <w:r>
        <w:rPr>
          <w:rFonts w:ascii="AvantGarde Bk BT Book" w:hAnsi="AvantGarde Bk BT Book" w:cs="Arial"/>
          <w:bCs/>
          <w:sz w:val="16"/>
          <w:szCs w:val="22"/>
          <w:lang w:val="es-ES_tradnl"/>
        </w:rPr>
        <w:t>184349</w:t>
      </w:r>
      <w:r w:rsidRPr="00F23F4B">
        <w:rPr>
          <w:rFonts w:ascii="AvantGarde Bk BT Book" w:hAnsi="AvantGarde Bk BT Book" w:cs="Arial"/>
          <w:bCs/>
          <w:sz w:val="16"/>
          <w:szCs w:val="22"/>
          <w:lang w:val="es-ES_tradnl"/>
        </w:rPr>
        <w:t>.</w:t>
      </w:r>
    </w:p>
  </w:footnote>
  <w:footnote w:id="17">
    <w:p w:rsidR="00AF3062" w:rsidRPr="0087761E" w:rsidRDefault="00AF3062" w:rsidP="00AF3062">
      <w:pPr>
        <w:pStyle w:val="Textonotapie"/>
        <w:jc w:val="both"/>
        <w:rPr>
          <w:i/>
        </w:rPr>
      </w:pPr>
      <w:r w:rsidRPr="0087761E">
        <w:rPr>
          <w:rStyle w:val="Refdenotaalpie"/>
          <w:rFonts w:ascii="AvantGarde Bk BT Book" w:hAnsi="AvantGarde Bk BT Book"/>
          <w:sz w:val="16"/>
          <w:szCs w:val="16"/>
        </w:rPr>
        <w:footnoteRef/>
      </w:r>
      <w:r w:rsidRPr="0087761E">
        <w:rPr>
          <w:rFonts w:ascii="AvantGarde Bk BT Book" w:hAnsi="AvantGarde Bk BT Book"/>
          <w:sz w:val="16"/>
          <w:szCs w:val="16"/>
        </w:rPr>
        <w:t xml:space="preserve"> </w:t>
      </w:r>
      <w:r w:rsidRPr="0087761E">
        <w:rPr>
          <w:rFonts w:ascii="AvantGarde Bk BT Book" w:hAnsi="AvantGarde Bk BT Book" w:cs="Arial"/>
          <w:bCs/>
          <w:sz w:val="16"/>
          <w:szCs w:val="22"/>
          <w:lang w:val="es-ES_tradnl"/>
        </w:rPr>
        <w:t xml:space="preserve">Tesis: </w:t>
      </w:r>
      <w:proofErr w:type="spellStart"/>
      <w:r w:rsidRPr="0087761E">
        <w:rPr>
          <w:rFonts w:ascii="AvantGarde Bk BT Book" w:hAnsi="AvantGarde Bk BT Book" w:cs="Arial"/>
          <w:bCs/>
          <w:sz w:val="16"/>
          <w:szCs w:val="22"/>
          <w:lang w:val="es-ES_tradnl"/>
        </w:rPr>
        <w:t>2a</w:t>
      </w:r>
      <w:proofErr w:type="spellEnd"/>
      <w:r w:rsidRPr="0087761E">
        <w:rPr>
          <w:rFonts w:ascii="AvantGarde Bk BT Book" w:hAnsi="AvantGarde Bk BT Book" w:cs="Arial"/>
          <w:bCs/>
          <w:sz w:val="16"/>
          <w:szCs w:val="22"/>
          <w:lang w:val="es-ES_tradnl"/>
        </w:rPr>
        <w:t xml:space="preserve">. XXXVII/2002, Semanario Judicial de la Federación y su Gaceta, Novena Época, Segunda Sala, Tomo XV, abril de 2002, p. 587, tesis aislada (administrativa), número de registro: 187183. </w:t>
      </w:r>
    </w:p>
  </w:footnote>
  <w:footnote w:id="18">
    <w:p w:rsidR="00AF3062" w:rsidRPr="00F63339" w:rsidRDefault="00AF3062" w:rsidP="00AF3062">
      <w:pPr>
        <w:pStyle w:val="Textonotapie"/>
        <w:jc w:val="both"/>
        <w:rPr>
          <w:rFonts w:ascii="AvantGarde Bk BT" w:hAnsi="AvantGarde Bk BT" w:cs="Arial"/>
          <w:sz w:val="14"/>
          <w:szCs w:val="14"/>
        </w:rPr>
      </w:pPr>
      <w:r w:rsidRPr="00F63339">
        <w:rPr>
          <w:rStyle w:val="Refdenotaalpie"/>
          <w:rFonts w:ascii="AvantGarde Bk BT" w:hAnsi="AvantGarde Bk BT" w:cs="Arial"/>
          <w:sz w:val="14"/>
          <w:szCs w:val="14"/>
        </w:rPr>
        <w:footnoteRef/>
      </w:r>
      <w:r w:rsidRPr="00F63339">
        <w:rPr>
          <w:rFonts w:ascii="AvantGarde Bk BT" w:hAnsi="AvantGarde Bk BT" w:cs="Arial"/>
          <w:sz w:val="14"/>
          <w:szCs w:val="14"/>
        </w:rPr>
        <w:t xml:space="preserve"> Periódico Oficial El Estado de Jalisco. Acuerdo DIELAG ACU 076/2020 del Gobernador Constitucional del Estado de Jalisco. Sección Bis. Número 29. Recuperado el 06 de enero de 2021, desde: </w:t>
      </w:r>
      <w:hyperlink r:id="rId2" w:history="1">
        <w:r w:rsidRPr="00F63339">
          <w:rPr>
            <w:rStyle w:val="Hipervnculo"/>
            <w:rFonts w:ascii="AvantGarde Bk BT" w:hAnsi="AvantGarde Bk BT" w:cs="Arial"/>
            <w:sz w:val="14"/>
            <w:szCs w:val="14"/>
          </w:rPr>
          <w:t>https://periodicooficial.jalisco.gob.mx/sites/periodicooficial.jalisco.gob.mx/files/11-16-20-bis.pdf</w:t>
        </w:r>
      </w:hyperlink>
      <w:r w:rsidRPr="00F63339">
        <w:rPr>
          <w:rFonts w:ascii="AvantGarde Bk BT" w:hAnsi="AvantGarde Bk BT" w:cs="Arial"/>
          <w:sz w:val="14"/>
          <w:szCs w:val="14"/>
        </w:rPr>
        <w:t xml:space="preserve"> </w:t>
      </w:r>
    </w:p>
  </w:footnote>
  <w:footnote w:id="19">
    <w:p w:rsidR="00AF3062" w:rsidRDefault="00AF3062" w:rsidP="00AF3062">
      <w:pPr>
        <w:pStyle w:val="Textonotapie"/>
        <w:jc w:val="both"/>
      </w:pPr>
      <w:r w:rsidRPr="00F63339">
        <w:rPr>
          <w:rFonts w:ascii="AvantGarde Bk BT" w:hAnsi="AvantGarde Bk BT" w:cs="Arial"/>
          <w:sz w:val="14"/>
          <w:szCs w:val="14"/>
          <w:vertAlign w:val="superscript"/>
        </w:rPr>
        <w:footnoteRef/>
      </w:r>
      <w:r w:rsidRPr="00F63339">
        <w:rPr>
          <w:rFonts w:ascii="AvantGarde Bk BT" w:hAnsi="AvantGarde Bk BT" w:cs="Arial"/>
          <w:sz w:val="14"/>
          <w:szCs w:val="14"/>
          <w:vertAlign w:val="superscript"/>
        </w:rPr>
        <w:t xml:space="preserve"> </w:t>
      </w:r>
      <w:r w:rsidRPr="00F63339">
        <w:rPr>
          <w:rFonts w:ascii="AvantGarde Bk BT" w:hAnsi="AvantGarde Bk BT" w:cs="Arial"/>
          <w:sz w:val="14"/>
          <w:szCs w:val="14"/>
        </w:rPr>
        <w:t xml:space="preserve">Periódico Oficial El Estado de Jalisco. Acuerdo del Secretario de Salud. Sección XLVI. Número 45. Recuperado el 06 de enero de 2021, desde: </w:t>
      </w:r>
      <w:hyperlink r:id="rId3" w:history="1">
        <w:r w:rsidRPr="00F63339">
          <w:rPr>
            <w:rFonts w:ascii="AvantGarde Bk BT" w:hAnsi="AvantGarde Bk BT"/>
            <w:sz w:val="14"/>
            <w:szCs w:val="14"/>
          </w:rPr>
          <w:t>https://periodicooficial.jalisco.gob.mx/sites/periodicooficial.jalisco.gob.mx/files/12-22-20-lxvi.pdf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D8C" w:rsidRDefault="00C2221F" w:rsidP="00375D8C">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1576FDCC" wp14:editId="10F33E79">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D8C" w:rsidRDefault="00FE50E0" w:rsidP="00375D8C">
    <w:pPr>
      <w:pStyle w:val="Encabezado"/>
      <w:jc w:val="right"/>
      <w:rPr>
        <w:noProof/>
        <w:lang w:val="es-ES" w:eastAsia="es-MX"/>
      </w:rPr>
    </w:pPr>
  </w:p>
  <w:p w:rsidR="00375D8C" w:rsidRDefault="00FE50E0" w:rsidP="00375D8C">
    <w:pPr>
      <w:pStyle w:val="Encabezado"/>
      <w:jc w:val="right"/>
      <w:rPr>
        <w:noProof/>
        <w:lang w:val="es-ES" w:eastAsia="es-MX"/>
      </w:rPr>
    </w:pPr>
  </w:p>
  <w:p w:rsidR="00375D8C" w:rsidRDefault="00FE50E0" w:rsidP="00375D8C">
    <w:pPr>
      <w:pStyle w:val="Encabezado"/>
      <w:jc w:val="right"/>
      <w:rPr>
        <w:rFonts w:ascii="AvantGarde Bk BT" w:hAnsi="AvantGarde Bk BT"/>
        <w:noProof/>
        <w:lang w:val="es-ES" w:eastAsia="es-MX"/>
      </w:rPr>
    </w:pPr>
  </w:p>
  <w:p w:rsidR="00375D8C" w:rsidRPr="00445DC2" w:rsidRDefault="00C2221F" w:rsidP="00375D8C">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w:t>
    </w:r>
    <w:r>
      <w:rPr>
        <w:rFonts w:ascii="AvantGarde Bk BT" w:hAnsi="AvantGarde Bk BT"/>
        <w:noProof/>
        <w:sz w:val="20"/>
        <w:szCs w:val="20"/>
        <w:lang w:val="es-ES" w:eastAsia="es-MX"/>
      </w:rPr>
      <w:t>021</w:t>
    </w:r>
  </w:p>
  <w:p w:rsidR="00375D8C" w:rsidRPr="00445DC2" w:rsidRDefault="00C2221F" w:rsidP="00375D8C">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 xml:space="preserve">Dictamen </w:t>
    </w:r>
    <w:r w:rsidRPr="000E090D">
      <w:rPr>
        <w:rFonts w:ascii="AvantGarde Bk BT" w:hAnsi="AvantGarde Bk BT"/>
        <w:noProof/>
        <w:color w:val="000000" w:themeColor="text1"/>
        <w:sz w:val="20"/>
        <w:szCs w:val="20"/>
        <w:lang w:val="es-ES" w:eastAsia="es-MX"/>
      </w:rPr>
      <w:t>Núm</w:t>
    </w:r>
    <w:r w:rsidRPr="00390F1A">
      <w:rPr>
        <w:rFonts w:ascii="AvantGarde Bk BT" w:hAnsi="AvantGarde Bk BT"/>
        <w:noProof/>
        <w:color w:val="000000" w:themeColor="text1"/>
        <w:sz w:val="20"/>
        <w:szCs w:val="20"/>
        <w:lang w:val="es-ES" w:eastAsia="es-MX"/>
      </w:rPr>
      <w:t>. I/202</w:t>
    </w:r>
    <w:r>
      <w:rPr>
        <w:rFonts w:ascii="AvantGarde Bk BT" w:hAnsi="AvantGarde Bk BT"/>
        <w:noProof/>
        <w:color w:val="000000" w:themeColor="text1"/>
        <w:sz w:val="20"/>
        <w:szCs w:val="20"/>
        <w:lang w:val="es-ES" w:eastAsia="es-MX"/>
      </w:rPr>
      <w:t>1</w:t>
    </w:r>
    <w:r w:rsidRPr="00390F1A">
      <w:rPr>
        <w:rFonts w:ascii="AvantGarde Bk BT" w:hAnsi="AvantGarde Bk BT"/>
        <w:noProof/>
        <w:color w:val="000000" w:themeColor="text1"/>
        <w:sz w:val="20"/>
        <w:szCs w:val="20"/>
        <w:lang w:val="es-ES" w:eastAsia="es-MX"/>
      </w:rPr>
      <w:t>/</w:t>
    </w:r>
    <w:r>
      <w:rPr>
        <w:rFonts w:ascii="AvantGarde Bk BT" w:hAnsi="AvantGarde Bk BT"/>
        <w:noProof/>
        <w:color w:val="000000" w:themeColor="text1"/>
        <w:sz w:val="20"/>
        <w:szCs w:val="20"/>
        <w:lang w:val="es-ES" w:eastAsia="es-MX"/>
      </w:rPr>
      <w:t>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179F0"/>
    <w:multiLevelType w:val="hybridMultilevel"/>
    <w:tmpl w:val="1E7847E6"/>
    <w:lvl w:ilvl="0" w:tplc="7AE63D32">
      <w:start w:val="1"/>
      <w:numFmt w:val="decimal"/>
      <w:lvlText w:val="%1."/>
      <w:lvlJc w:val="left"/>
      <w:pPr>
        <w:tabs>
          <w:tab w:val="num" w:pos="360"/>
        </w:tabs>
        <w:ind w:left="360" w:hanging="360"/>
      </w:pPr>
      <w:rPr>
        <w:rFonts w:ascii="AvantGarde Bk BT" w:hAnsi="AvantGarde Bk BT" w:hint="default"/>
        <w:b/>
        <w:i w:val="0"/>
        <w:caps w:val="0"/>
        <w:strike w:val="0"/>
        <w:dstrike w:val="0"/>
        <w:vanish w:val="0"/>
        <w:sz w:val="22"/>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54CE2225"/>
    <w:multiLevelType w:val="singleLevel"/>
    <w:tmpl w:val="C680AF4A"/>
    <w:lvl w:ilvl="0">
      <w:start w:val="1"/>
      <w:numFmt w:val="upperRoman"/>
      <w:lvlText w:val="%1."/>
      <w:lvlJc w:val="left"/>
      <w:pPr>
        <w:ind w:left="360" w:hanging="360"/>
      </w:pPr>
      <w:rPr>
        <w:rFonts w:cs="Times New Roman" w:hint="default"/>
        <w:b/>
        <w:bCs/>
        <w:color w:val="auto"/>
      </w:rPr>
    </w:lvl>
  </w:abstractNum>
  <w:abstractNum w:abstractNumId="2" w15:restartNumberingAfterBreak="0">
    <w:nsid w:val="6B166F7D"/>
    <w:multiLevelType w:val="hybridMultilevel"/>
    <w:tmpl w:val="6C3803A0"/>
    <w:lvl w:ilvl="0" w:tplc="9EA0CFDE">
      <w:start w:val="1"/>
      <w:numFmt w:val="decimal"/>
      <w:lvlText w:val="%1."/>
      <w:lvlJc w:val="left"/>
      <w:pPr>
        <w:tabs>
          <w:tab w:val="num" w:pos="720"/>
        </w:tabs>
        <w:ind w:left="720" w:hanging="360"/>
      </w:pPr>
      <w:rPr>
        <w:rFonts w:cs="Times New Roman" w:hint="default"/>
        <w:b/>
        <w:bCs/>
      </w:rPr>
    </w:lvl>
    <w:lvl w:ilvl="1" w:tplc="DABC1A86">
      <w:start w:val="1"/>
      <w:numFmt w:val="lowerLetter"/>
      <w:lvlText w:val="%2."/>
      <w:lvlJc w:val="left"/>
      <w:pPr>
        <w:tabs>
          <w:tab w:val="num" w:pos="1440"/>
        </w:tabs>
        <w:ind w:left="1440" w:hanging="360"/>
      </w:pPr>
      <w:rPr>
        <w:rFonts w:cs="Times New Roman"/>
        <w:b/>
        <w:bCs/>
      </w:rPr>
    </w:lvl>
    <w:lvl w:ilvl="2" w:tplc="87C29530">
      <w:start w:val="1"/>
      <w:numFmt w:val="lowerRoman"/>
      <w:lvlText w:val="%3."/>
      <w:lvlJc w:val="right"/>
      <w:pPr>
        <w:tabs>
          <w:tab w:val="num" w:pos="2160"/>
        </w:tabs>
        <w:ind w:left="2160" w:hanging="180"/>
      </w:pPr>
      <w:rPr>
        <w:rFonts w:cs="Times New Roman"/>
        <w:b/>
        <w:bCs/>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5BC70E4"/>
    <w:multiLevelType w:val="hybridMultilevel"/>
    <w:tmpl w:val="87AC35FE"/>
    <w:lvl w:ilvl="0" w:tplc="7AE63D32">
      <w:start w:val="1"/>
      <w:numFmt w:val="decimal"/>
      <w:lvlText w:val="%1."/>
      <w:lvlJc w:val="left"/>
      <w:pPr>
        <w:tabs>
          <w:tab w:val="num" w:pos="360"/>
        </w:tabs>
        <w:ind w:left="360" w:hanging="360"/>
      </w:pPr>
      <w:rPr>
        <w:rFonts w:ascii="AvantGarde Bk BT" w:hAnsi="AvantGarde Bk BT" w:hint="default"/>
        <w:b/>
        <w:i w:val="0"/>
        <w:caps w:val="0"/>
        <w:strike w:val="0"/>
        <w:dstrike w:val="0"/>
        <w:vanish w:val="0"/>
        <w:sz w:val="22"/>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62"/>
    <w:rsid w:val="0031206C"/>
    <w:rsid w:val="005D6FDE"/>
    <w:rsid w:val="00710285"/>
    <w:rsid w:val="00AD4CA0"/>
    <w:rsid w:val="00AF3062"/>
    <w:rsid w:val="00C2221F"/>
    <w:rsid w:val="00F81AB4"/>
    <w:rsid w:val="00F917C6"/>
    <w:rsid w:val="00FA0485"/>
    <w:rsid w:val="00FE5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E33598B"/>
  <w15:chartTrackingRefBased/>
  <w15:docId w15:val="{CEDE619D-33D8-D446-8BB6-22459E58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6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062"/>
    <w:pPr>
      <w:tabs>
        <w:tab w:val="center" w:pos="4419"/>
        <w:tab w:val="right" w:pos="8838"/>
      </w:tabs>
    </w:pPr>
    <w:rPr>
      <w:lang w:eastAsia="es-ES"/>
    </w:rPr>
  </w:style>
  <w:style w:type="character" w:customStyle="1" w:styleId="EncabezadoCar">
    <w:name w:val="Encabezado Car"/>
    <w:basedOn w:val="Fuentedeprrafopredeter"/>
    <w:link w:val="Encabezado"/>
    <w:uiPriority w:val="99"/>
    <w:rsid w:val="00AF3062"/>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AF3062"/>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AF3062"/>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AF3062"/>
    <w:pPr>
      <w:spacing w:after="120" w:line="480" w:lineRule="auto"/>
      <w:ind w:left="283"/>
    </w:pPr>
    <w:rPr>
      <w:lang w:val="x-none" w:eastAsia="es-ES"/>
    </w:rPr>
  </w:style>
  <w:style w:type="character" w:customStyle="1" w:styleId="Sangra2detindependienteCar">
    <w:name w:val="Sangría 2 de t. independiente Car"/>
    <w:basedOn w:val="Fuentedeprrafopredeter"/>
    <w:link w:val="Sangra2detindependiente"/>
    <w:uiPriority w:val="99"/>
    <w:rsid w:val="00AF3062"/>
    <w:rPr>
      <w:rFonts w:ascii="Times New Roman" w:eastAsia="Times New Roman" w:hAnsi="Times New Roman" w:cs="Times New Roman"/>
      <w:lang w:val="x-none" w:eastAsia="es-ES"/>
    </w:rPr>
  </w:style>
  <w:style w:type="paragraph" w:styleId="Prrafodelista">
    <w:name w:val="List Paragraph"/>
    <w:basedOn w:val="Normal"/>
    <w:uiPriority w:val="34"/>
    <w:qFormat/>
    <w:rsid w:val="00AF3062"/>
    <w:pPr>
      <w:ind w:left="708"/>
    </w:pPr>
    <w:rPr>
      <w:lang w:eastAsia="es-ES"/>
    </w:rPr>
  </w:style>
  <w:style w:type="paragraph" w:styleId="Textonotapie">
    <w:name w:val="footnote text"/>
    <w:basedOn w:val="Normal"/>
    <w:link w:val="TextonotapieCar"/>
    <w:uiPriority w:val="99"/>
    <w:unhideWhenUsed/>
    <w:rsid w:val="00AF3062"/>
    <w:rPr>
      <w:sz w:val="20"/>
      <w:szCs w:val="20"/>
      <w:lang w:eastAsia="es-ES"/>
    </w:rPr>
  </w:style>
  <w:style w:type="character" w:customStyle="1" w:styleId="TextonotapieCar">
    <w:name w:val="Texto nota pie Car"/>
    <w:basedOn w:val="Fuentedeprrafopredeter"/>
    <w:link w:val="Textonotapie"/>
    <w:uiPriority w:val="99"/>
    <w:rsid w:val="00AF30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F3062"/>
    <w:rPr>
      <w:vertAlign w:val="superscript"/>
    </w:rPr>
  </w:style>
  <w:style w:type="character" w:styleId="Hipervnculo">
    <w:name w:val="Hyperlink"/>
    <w:basedOn w:val="Fuentedeprrafopredeter"/>
    <w:uiPriority w:val="99"/>
    <w:unhideWhenUsed/>
    <w:rsid w:val="00AF3062"/>
    <w:rPr>
      <w:color w:val="0563C1" w:themeColor="hyperlink"/>
      <w:u w:val="single"/>
    </w:rPr>
  </w:style>
  <w:style w:type="table" w:styleId="Tablaconcuadrcula">
    <w:name w:val="Table Grid"/>
    <w:basedOn w:val="Tablanormal"/>
    <w:uiPriority w:val="39"/>
    <w:rsid w:val="00AF3062"/>
    <w:rPr>
      <w:rFonts w:ascii="Arial" w:eastAsia="Times New Roman" w:hAnsi="Arial"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ites/periodicooficial.jalisco.gob.mx/files/12-22-20-lxvi.pdf" TargetMode="External"/><Relationship Id="rId2" Type="http://schemas.openxmlformats.org/officeDocument/2006/relationships/hyperlink" Target="https://periodicooficial.jalisco.gob.mx/sites/periodicooficial.jalisco.gob.mx/files/11-16-20-bis.pdf" TargetMode="External"/><Relationship Id="rId1" Type="http://schemas.openxmlformats.org/officeDocument/2006/relationships/hyperlink" Target="https://hechingerreport.org/students-need-a-boost-in-wealth-more-than-a-boost-in-sat-sc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5789</Words>
  <Characters>31845</Characters>
  <Application>Microsoft Office Word</Application>
  <DocSecurity>0</DocSecurity>
  <Lines>265</Lines>
  <Paragraphs>75</Paragraphs>
  <ScaleCrop>false</ScaleCrop>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Marco Romero</cp:lastModifiedBy>
  <cp:revision>6</cp:revision>
  <dcterms:created xsi:type="dcterms:W3CDTF">2021-02-08T18:26:00Z</dcterms:created>
  <dcterms:modified xsi:type="dcterms:W3CDTF">2021-02-08T19:23:00Z</dcterms:modified>
</cp:coreProperties>
</file>